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FD0A47">
      <w:pPr>
        <w:pStyle w:val="FORMATTEXT"/>
        <w:jc w:val="right"/>
      </w:pPr>
      <w:r>
        <w:rPr>
          <w:rFonts w:ascii="Arial, sans-serif" w:hAnsi="Arial, sans-serif"/>
          <w:sz w:val="24"/>
          <w:szCs w:val="24"/>
        </w:rPr>
        <w:t xml:space="preserve">  </w:t>
      </w:r>
    </w:p>
    <w:p w:rsidR="00000000" w:rsidRDefault="00FD0A47">
      <w:pPr>
        <w:pStyle w:val="FORMATTEXT"/>
        <w:jc w:val="right"/>
      </w:pPr>
      <w:r>
        <w:t xml:space="preserve">Р 50.1.108-2016 </w:t>
      </w: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>РЕКОМЕНДАЦИИ ПО СТАНДАРТИЗАЦ</w:t>
      </w:r>
      <w:r>
        <w:rPr>
          <w:b/>
          <w:bCs/>
        </w:rPr>
        <w:t>ИИ</w:t>
      </w:r>
    </w:p>
    <w:p w:rsidR="00000000" w:rsidRDefault="00FD0A47">
      <w:pPr>
        <w:pStyle w:val="HEADERTEXT"/>
        <w:jc w:val="center"/>
        <w:rPr>
          <w:b/>
          <w:bCs/>
        </w:rPr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ПОЛИТИКА ИЛАК ПО ПРОСЛЕЖИВАЕМОСТИ РЕЗУЛЬТАТОВ ИЗМЕРЕНИЙ</w:t>
      </w:r>
    </w:p>
    <w:p w:rsidR="00000000" w:rsidRDefault="00FD0A47">
      <w:pPr>
        <w:pStyle w:val="HEADERTEXT"/>
        <w:rPr>
          <w:b/>
          <w:bCs/>
        </w:rPr>
      </w:pPr>
    </w:p>
    <w:p w:rsidR="00000000" w:rsidRPr="002E16C3" w:rsidRDefault="00FD0A47">
      <w:pPr>
        <w:pStyle w:val="HEADERTEXT"/>
        <w:jc w:val="center"/>
        <w:rPr>
          <w:b/>
          <w:bCs/>
          <w:lang w:val="en-US"/>
        </w:rPr>
      </w:pPr>
      <w:r>
        <w:rPr>
          <w:b/>
          <w:bCs/>
        </w:rPr>
        <w:t xml:space="preserve"> </w:t>
      </w:r>
      <w:r w:rsidRPr="002E16C3">
        <w:rPr>
          <w:b/>
          <w:bCs/>
          <w:lang w:val="en-US"/>
        </w:rPr>
        <w:t xml:space="preserve">ILAC policy on the traceability of measurement results </w:t>
      </w:r>
    </w:p>
    <w:p w:rsidR="00000000" w:rsidRDefault="00FD0A47">
      <w:pPr>
        <w:pStyle w:val="FORMATTEXT"/>
        <w:jc w:val="both"/>
      </w:pPr>
      <w:r>
        <w:t xml:space="preserve">ОКС 17.020 </w:t>
      </w:r>
    </w:p>
    <w:p w:rsidR="00000000" w:rsidRDefault="00FD0A47">
      <w:pPr>
        <w:pStyle w:val="FORMATTEXT"/>
        <w:jc w:val="right"/>
      </w:pPr>
      <w:r>
        <w:t xml:space="preserve">Дата введения 2017-04-01 </w:t>
      </w: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>     </w:t>
      </w: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Предисловие </w:t>
      </w:r>
    </w:p>
    <w:p w:rsidR="00000000" w:rsidRDefault="00FD0A47">
      <w:pPr>
        <w:pStyle w:val="FORMATTEXT"/>
        <w:ind w:firstLine="568"/>
        <w:jc w:val="both"/>
      </w:pPr>
      <w:r>
        <w:t>1 РАЗРАБОТАНЫ Федеральным государственным унитарным предприятием "Всер</w:t>
      </w:r>
      <w:r>
        <w:t>оссийский научно-исследовательский институт метрологической службы" (ФГУП "ВНИИМС")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2 ВНЕСЕНЫ Техническим комитетом по стандартизации ТК 53 "Основные нормы и правила в области обеспечения единства измерений"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3 УТВЕРЖДЕНЫ И ВВЕДЕНЫ В ДЕЙСТВИЕ </w:t>
      </w:r>
      <w:r>
        <w:rPr>
          <w:color w:val="0000AA"/>
          <w:u w:val="single"/>
        </w:rPr>
        <w:t>Приказом Ф</w:t>
      </w:r>
      <w:r>
        <w:rPr>
          <w:color w:val="0000AA"/>
          <w:u w:val="single"/>
        </w:rPr>
        <w:t>едерального агентства по техническому регулированию и метрологии от 12 октября 2016 г. N 1387-ст</w:t>
      </w:r>
      <w:r>
        <w:rPr>
          <w:color w:val="0000FF"/>
          <w:u w:val="single"/>
        </w:rPr>
        <w:t xml:space="preserve"> 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4 В настоящих рекомендациях учтены основные нормативные положения международного документа ILAC Р10:01/2013 "Политика по прослеживаемости результатов изме</w:t>
      </w:r>
      <w:r>
        <w:t>рений" (ILAC Р10:01/2013 "ILAC Policy on the traceability of measurement results", NEQ)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5 ВВЕДЕНЫ ВПЕРВ</w:t>
      </w:r>
      <w:bookmarkStart w:id="0" w:name="_GoBack"/>
      <w:bookmarkEnd w:id="0"/>
      <w:r>
        <w:t>ЫЕ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i/>
          <w:iCs/>
        </w:rPr>
        <w:t xml:space="preserve">Правила применения настоящих рекомендаций установлены в </w:t>
      </w:r>
      <w:r>
        <w:rPr>
          <w:color w:val="0000AA"/>
          <w:u w:val="single"/>
        </w:rPr>
        <w:t>статье 26 Федерального закона "О стандартизации в Российской Фе</w:t>
      </w:r>
      <w:r>
        <w:rPr>
          <w:color w:val="0000AA"/>
          <w:u w:val="single"/>
        </w:rPr>
        <w:t>дерации"</w:t>
      </w:r>
      <w:r>
        <w:rPr>
          <w:color w:val="0000FF"/>
          <w:u w:val="single"/>
        </w:rPr>
        <w:t xml:space="preserve"> </w:t>
      </w:r>
      <w:r>
        <w:rPr>
          <w:i/>
          <w:iCs/>
        </w:rPr>
        <w:t>. Информация об изменениях к настоящим рекомендациям публикуется в ежегодном (по состоянию на 1 января текущего года) информационном указателе "Национальные стандарты", а текст изменений и поправок - в ежемесячном информационном указателе "Наци</w:t>
      </w:r>
      <w:r>
        <w:rPr>
          <w:i/>
          <w:iCs/>
        </w:rPr>
        <w:t>ональные стандарты". В случае пересмотра (замены) или отмены настоящих рекомендаций соответствующее уведомление будет опубликовано в ежемесячном указателе "Национальные стандарты". Соответствующая информация, уведомление и тексты размещаются также в информ</w:t>
      </w:r>
      <w:r>
        <w:rPr>
          <w:i/>
          <w:iCs/>
        </w:rPr>
        <w:t>ационной системе общего пользования - на официальном сайте Федерального агентства по техническому регулированию и метрологии в сети Интернет (www.gost.ru)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Введение </w:t>
      </w:r>
    </w:p>
    <w:p w:rsidR="00000000" w:rsidRDefault="00FD0A47">
      <w:pPr>
        <w:pStyle w:val="FORMATTEXT"/>
        <w:ind w:firstLine="568"/>
        <w:jc w:val="both"/>
      </w:pPr>
      <w:r>
        <w:t>Для обеспечения достоверности результатов работ аккредитованных лабораторий органы по ак</w:t>
      </w:r>
      <w:r>
        <w:t>кредитации реализуют Политику ИЛАК и используют руководящие документы, которые содействуют гармонизации форм представления и подходов к критериям аккредитации. Метрологическая прослеживаемость результатов измерений является ключевым требованием, для которо</w:t>
      </w:r>
      <w:r>
        <w:t>го необходима гармонизированная политика, чтобы потребители на рынке были уверены в результатах калибровок, испытаний и проверок, которые проводят аккредитованные в соответствии с положениями Договоренности ИЛАК лаборатории и органы инспекции.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Метрологиче</w:t>
      </w:r>
      <w:r>
        <w:t>ская прослеживаемость подразумевает под собой непрерывную цепь калибровок, каждая из которых вносит вклад в неопределенность измерений (см. VIM [I]). То, что метрологическая прослеживаемость может быть связана с конкретной организацией (например, "прослежи</w:t>
      </w:r>
      <w:r>
        <w:t>вается связь с деятельностью Национального метрологического института") - это типичное заблуждение, которое способствует внесению дальнейшей путаницы в определение. Метрологическая прослеживаемость связана с опорными значениями величин (основы для сравнени</w:t>
      </w:r>
      <w:r>
        <w:t>я) и результатами измерений.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Факторами, определяющими необходимость гармонизации Политики ИЛАК по метрологической прослеживаемости, являются: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а) разное представление понятия "метрологическая прослеживаемость результатов измерений" </w:t>
      </w:r>
      <w:r>
        <w:lastRenderedPageBreak/>
        <w:t>в таких областях деяте</w:t>
      </w:r>
      <w:r>
        <w:t>льности как химия, медицина и биология;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б) не все страны имеют полную базу национальных эталонов и калибровочных и измерительных возможностей, необходимых для проведения работ по испытаниям и калибровкам всеми потенциальными заявителями, которые претендую</w:t>
      </w:r>
      <w:r>
        <w:t>т на получение статуса аккредитации в их стране;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в) не установилась практика применения на международном уровне достоверных и прослеживаемых сертифицированных</w:t>
      </w:r>
      <w:r w:rsidR="002E16C3">
        <w:rPr>
          <w:noProof/>
          <w:position w:val="-8"/>
        </w:rPr>
        <w:drawing>
          <wp:inline distT="0" distB="0" distL="0" distR="0">
            <wp:extent cx="123825" cy="21907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стандартных образцов для подтверждения метрологической просл</w:t>
      </w:r>
      <w:r>
        <w:t xml:space="preserve">еживаемости. </w:t>
      </w:r>
    </w:p>
    <w:p w:rsidR="00000000" w:rsidRDefault="00FD0A47">
      <w:pPr>
        <w:pStyle w:val="FORMATTEXT"/>
        <w:jc w:val="both"/>
      </w:pPr>
      <w:r>
        <w:t xml:space="preserve">_______________ </w:t>
      </w:r>
    </w:p>
    <w:p w:rsidR="00000000" w:rsidRDefault="002E16C3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23825" cy="219075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0A47">
        <w:t>В Российской Федерации сертификация стандартных образцов реализуется через процедуры утверждения типа.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1 Область применения </w:t>
      </w:r>
    </w:p>
    <w:p w:rsidR="00000000" w:rsidRDefault="00FD0A47">
      <w:pPr>
        <w:pStyle w:val="FORMATTEXT"/>
        <w:ind w:firstLine="568"/>
        <w:jc w:val="both"/>
      </w:pPr>
      <w:r>
        <w:t>Настоящие рекомендации описывают Политику ИЛАК по просле</w:t>
      </w:r>
      <w:r>
        <w:t>живаемости результатов измерений на основании требований стандартов [2] и [3]. Политика ИЛАК может быть также применима при проведении других мероприятий, связанных с оценкой соответствия, в которую вовлечены испытательные и/или калибровочные лаборатории (</w:t>
      </w:r>
      <w:r>
        <w:t xml:space="preserve">например, контроль и сертификация продукции). Для лабораторий, занимающихся деятельностью, связанной с калибровкой в соответствии с установленной метрологической прослеживаемостью, но </w:t>
      </w:r>
      <w:r w:rsidR="002E16C3">
        <w:t>в области,</w:t>
      </w:r>
      <w:r>
        <w:t xml:space="preserve"> аккредитации которых данная деятельность отсутствует, может бы</w:t>
      </w:r>
      <w:r>
        <w:t>ть применима Политика ИЛАК, изложенная в разделе 3. Внутренние калибровки также известны как калибровки для собственных потребностей.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2 Термины и определения </w:t>
      </w:r>
    </w:p>
    <w:p w:rsidR="00000000" w:rsidRDefault="00FD0A47">
      <w:pPr>
        <w:pStyle w:val="FORMATTEXT"/>
        <w:ind w:firstLine="568"/>
        <w:jc w:val="both"/>
      </w:pPr>
      <w:r>
        <w:t>В настоящих рекомендациях применены следующие термины и определения: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2.1</w:t>
      </w:r>
    </w:p>
    <w:p w:rsidR="00000000" w:rsidRDefault="00FD0A4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метрологиче</w:t>
            </w:r>
            <w:r>
              <w:rPr>
                <w:b/>
                <w:bCs/>
                <w:sz w:val="18"/>
                <w:szCs w:val="18"/>
              </w:rPr>
              <w:t>ская прослеживаемость</w:t>
            </w:r>
            <w:r>
              <w:rPr>
                <w:sz w:val="18"/>
                <w:szCs w:val="18"/>
              </w:rPr>
              <w:t xml:space="preserve"> (metrological traceability): Свойство результата измерения, в соответствии с которым результат может быть соотнесен с основой для сравнения через документированную непрерывную цепь калибровок, каждая из которых вносит вклад в неопреде</w:t>
            </w:r>
            <w:r>
              <w:rPr>
                <w:sz w:val="18"/>
                <w:szCs w:val="18"/>
              </w:rPr>
              <w:t>ленность измерения.</w:t>
            </w: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пункта 2.41 констатирует, что в этом определении "основой для сравнения" может быть определение единицы измерения через ее практическую реализацию или методика измерений, включающая единицу измерения для величин, отличных</w:t>
            </w:r>
            <w:r>
              <w:rPr>
                <w:sz w:val="18"/>
                <w:szCs w:val="18"/>
              </w:rPr>
              <w:t xml:space="preserve"> от порядковых, или эталон.</w:t>
            </w: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[VIM 3, п.2.41]</w:t>
            </w:r>
          </w:p>
        </w:tc>
      </w:tr>
    </w:tbl>
    <w:p w:rsidR="00000000" w:rsidRDefault="00FD0A4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FD0A47">
      <w:pPr>
        <w:pStyle w:val="FORMATTEXT"/>
        <w:ind w:firstLine="568"/>
        <w:jc w:val="both"/>
      </w:pPr>
      <w:r>
        <w:t>Примечание - Термин "прослеживаемость" согласно стандартам [2] и [3] эквивалентен термину "метрологическая прослеживаемость" согласно международному словарю [1], данный термин также используется в настояще</w:t>
      </w:r>
      <w:r>
        <w:t>м документе.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2.2</w:t>
      </w:r>
    </w:p>
    <w:p w:rsidR="00000000" w:rsidRDefault="00FD0A4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цепь метрологической прослеживаемости</w:t>
            </w:r>
            <w:r>
              <w:rPr>
                <w:sz w:val="18"/>
                <w:szCs w:val="18"/>
              </w:rPr>
              <w:t xml:space="preserve"> (metrological traceability chain): Последовательность эталонов и калибровок, которые используются для соотнесения результата измерения с основой для сравнения.</w:t>
            </w: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[VIM 3, п.2.42]</w:t>
            </w:r>
          </w:p>
        </w:tc>
      </w:tr>
    </w:tbl>
    <w:p w:rsidR="00000000" w:rsidRDefault="00FD0A4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FD0A47">
      <w:pPr>
        <w:pStyle w:val="FORMATTEXT"/>
        <w:ind w:firstLine="568"/>
        <w:jc w:val="both"/>
      </w:pPr>
      <w:r>
        <w:t>2.3</w:t>
      </w:r>
    </w:p>
    <w:p w:rsidR="00000000" w:rsidRDefault="00FD0A47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метрологи</w:t>
            </w:r>
            <w:r>
              <w:rPr>
                <w:b/>
                <w:bCs/>
                <w:sz w:val="18"/>
                <w:szCs w:val="18"/>
              </w:rPr>
              <w:t>ческая прослеживаемость к единице измерения</w:t>
            </w:r>
            <w:r>
              <w:rPr>
                <w:sz w:val="18"/>
                <w:szCs w:val="18"/>
              </w:rPr>
              <w:t xml:space="preserve"> (metrological traceability to а measurement unit): Метрологическая прослеживаемость, где основой для сравнения является определение единицы измерения через ее практическую реализацию.</w:t>
            </w: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1 - Выражение "</w:t>
            </w:r>
            <w:r>
              <w:rPr>
                <w:sz w:val="18"/>
                <w:szCs w:val="18"/>
              </w:rPr>
              <w:t>прослеживаемость к СИ" означает "метрологическую прослеживаемость к единице измерения Международной системы единиц".</w:t>
            </w: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[VIM 3, п.2.43]</w:t>
            </w:r>
          </w:p>
        </w:tc>
      </w:tr>
    </w:tbl>
    <w:p w:rsidR="00000000" w:rsidRDefault="00FD0A4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FD0A47">
      <w:pPr>
        <w:pStyle w:val="FORMATTEXT"/>
        <w:ind w:firstLine="568"/>
        <w:jc w:val="both"/>
      </w:pPr>
      <w:r>
        <w:t xml:space="preserve">2.4 </w:t>
      </w:r>
      <w:r>
        <w:rPr>
          <w:b/>
          <w:bCs/>
        </w:rPr>
        <w:t>национальный метрологический институт и уполномоченные институты</w:t>
      </w:r>
      <w:r>
        <w:t xml:space="preserve"> (NMI): Держатели эталонов в странах (или регио</w:t>
      </w:r>
      <w:r>
        <w:t>нах) по всему миру.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Примечание - Сокращение NMI применяют как к национальным метрологическим институтам, так и к уполномоченным институтам.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2.5 </w:t>
      </w:r>
      <w:r>
        <w:rPr>
          <w:b/>
          <w:bCs/>
        </w:rPr>
        <w:t>объединенный комитет</w:t>
      </w:r>
      <w:r>
        <w:t xml:space="preserve"> (JCTLM): В состав комитета по прослеживаемости в лабораторной медицине входят Международн</w:t>
      </w:r>
      <w:r>
        <w:t>ый комитет мер и весов (МКМВ, CIPM), Международная федерация клинической химии и лабораторной медицины (IFCC) и Международная организация по аккредитации лабораторий (ИЛАК).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3 Политика ИЛАК по прослеживаемости в рамках Договоренности ИЛАК в части п</w:t>
      </w:r>
      <w:r>
        <w:rPr>
          <w:b/>
          <w:bCs/>
        </w:rPr>
        <w:t xml:space="preserve">роведения калибровочных работ </w:t>
      </w: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3.1 Основное требование к прослеживаемости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Все средства измерений, используемые для испытаний и/или калибровочных работ, включая средства для вспомогательных измерений (например, для контроля параметров окружающей среды), им</w:t>
      </w:r>
      <w:r>
        <w:t>еющих значительное влияние на точность и достоверность результатов испытания, калибровки или отбора образцов, должны быть калиброваны перед вводом в эксплуатацию.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Данное требование является обязательным для лабораторий, осуществляющих калибровочные работы</w:t>
      </w:r>
      <w:r>
        <w:t>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3.2 Дополнительное требование к прослеживаемости калибровочных лабораторий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Для калибровочных лабораторий должна быть создана функционирующая программа калибровки оборудования для того, чтобы обеспечивать прослеживаемость калибровки и измерений, проведе</w:t>
      </w:r>
      <w:r>
        <w:t>нных лабораторией, к Международной системе единиц (СИ).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3.3 Требования к прослеживаемости исходных эталонов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Лаборатория должна иметь программу и процедуру калибровки своих исходных эталонов. Исходные эталоны должны быть калиброваны органом, который може</w:t>
      </w:r>
      <w:r>
        <w:t>т обеспечить передачу единицы величины, как описано в подпункте 5.6.2.1 стандарта [2]. Такие исходные эталоны, имеющиеся в лаборатории, должны использоваться только для калибровки, а не для каких-то других целей, пока не будет показано, что их функциониров</w:t>
      </w:r>
      <w:r>
        <w:t>ание в качестве исходных эталонов не является возможным. Исходные эталоны должны калиброваться до и после любой регулировки.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Руководящие указания по сохранению прослеживаемости в программах калибровки эталонов можно найти в руководстве [4].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3.4 Требовани</w:t>
      </w:r>
      <w:r>
        <w:rPr>
          <w:b/>
          <w:bCs/>
        </w:rPr>
        <w:t>я к калибровочным лабораториям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При использовании услуг сторонних организаций по калибровке средств измерений передача единицы величины должна обеспечиваться тем, что такие услуги предоставляются лабораториями, которые могут продемонстрировать свою компете</w:t>
      </w:r>
      <w:r>
        <w:t>нтность, измерительные возможности и прослеживаемость.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3.5 Калибровка средств измерений и исходных эталонов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Для средств измерений и исходных эталонов, которые должны калиброваться, Политика ИЛАК устанавливает, что они должны быть калиброваны: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1) Национа</w:t>
      </w:r>
      <w:r>
        <w:t>льными метрологическими институтами (NMI), в компетентность которых входит проведение такого рода работ и на которые распространяются положения Договоренности о взаимном признании Международного комитета мер и весов (CIPM MRA). С перечнем измерений, которы</w:t>
      </w:r>
      <w:r>
        <w:t>е обусловливает данная Договоренность, включая сведения о диапазоне и неопределенности для каждой области измерений из перечня, можно ознакомиться в приложении С базы данных ключевых сличений Международного бюро мер и весов (BIPM KCDB).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Примечания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1 Неко</w:t>
      </w:r>
      <w:r>
        <w:t>торые NMI также могут отмечать, что осуществляют свои работы в рамках Договоренности CIPM MRA путем применения логотипа CIPM MRA на своих сертификатах калибровки, однако применение логотипа не является обязательным и база данных BIPM KCDB все равно остаетс</w:t>
      </w:r>
      <w:r>
        <w:t>я главным источником информации.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2 NMI государств - участников Метрической конвенции могут непосредственно получить прослеживаемость из измерений, выполненных в BIPM. База данных KCDB автоматически связывает соответствующие услуги по калибровке МБМВ (вклю</w:t>
      </w:r>
      <w:r>
        <w:t>чая диапазон и неопределенность). Также в базе приведены индивидуальные калибровочные сертификаты, выданные BIPM.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или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2) Аккредитованными калибровочными лабораториями, в компетентность которых входит проведение такого рода работ (то есть область аккредит</w:t>
      </w:r>
      <w:r>
        <w:t>ации включает проведение соответствующих калибровочных работ), а на орган по аккредитации распространяются действия Договоренности ИЛАК или региональных договоренностей, признанных ИЛАК.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Примечание - Некоторые калибровочные лаборатории демонстрируют, что </w:t>
      </w:r>
      <w:r>
        <w:t>они работают в рамках Договоренности ИЛАК, отмечая на сертификате калибровки, что "лаборатория работает в рамках Договоренности ИЛАК". Кроме того, на сертификате калибровки может быть приведен знак аккредитации Органа по аккредитации, подписавшего Договоре</w:t>
      </w:r>
      <w:r>
        <w:t>нность ИЛАК и/или признанного региональной многосторонней Договоренностью о взаимном признании (MLA). И то и другое может быть принято в качестве доказательства прослеживаемости.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или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3а) NMI, в компетентность которых входит проведение такого рода работ</w:t>
      </w:r>
      <w:r>
        <w:t>, но на которые не распространяются положения Договоренности о взаимном признании Международного комитета мер и весов (CIPM MRA). Для такой ситуации орган по аккредитации должен установить политику для того, чтобы подтвердить соответствие требованиям по ме</w:t>
      </w:r>
      <w:r>
        <w:t>трологической прослеживаемости, установленным в стандарте [2].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или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3б) Калибровочные лаборатории, в компетентность которых входит проведение такого рода работ, но на которые не распространяются положения Договоренности ИЛАК или региональные соглашения, п</w:t>
      </w:r>
      <w:r>
        <w:t>ризнанные ИЛАК. И в этом случае орган по аккредитации должен установить Политику ИЛАК для того, чтобы подтвердить соответствие требованиям по метрологической прослеживаемости, установленным в стандарте [2].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Лаборатории, которые подтвердили выполнение треб</w:t>
      </w:r>
      <w:r>
        <w:t>ований по прослеживаемости результатов измерений за счет использования услуг по калибровке в соответствии с ситуациями, указанными в перечислениях 1) или 2), получают подтверждение своей компетентности в той области, которая была предметом экспертной оценк</w:t>
      </w:r>
      <w:r>
        <w:t xml:space="preserve">и или аккредитации. Ситуации, приведенные в перечислениях 3а) </w:t>
      </w:r>
      <w:r>
        <w:lastRenderedPageBreak/>
        <w:t>или 3б) отличны от 1) и 2), и могут быть применимы только в том случае, когда проведение калибровки оборудования и эталонов по ситуациям перечислений 1) или 2) невозможно. Следовательно, лаборат</w:t>
      </w:r>
      <w:r>
        <w:t>ория должна предоставлять доказательства по прослеживаемости и неопределенности измерения, а орган по аккредитации должен оценить эти доказательства. Более подробно правила работы при ситуациях 3а) и 3б) приведены в приложении А.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4) Существуют определенны</w:t>
      </w:r>
      <w:r>
        <w:t>е виды калибровочных работ, которые в настоящее время не могут быть выполнены в единицах СИ, в этих случаях калибровка должна обеспечивать достоверность измерений путем передачи единицы величины от соответствующих эталонов единиц физических величин, наприм</w:t>
      </w:r>
      <w:r>
        <w:t>ер: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использование сертифицированных стандартных образцов, предоставленных компетентным поставщиком, чтобы получить надежные значения физических или химических характеристик;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использование установленных методик и/или согласованных стандартов, четко из</w:t>
      </w:r>
      <w:r>
        <w:t>ложенных и принятых всеми заинтересованными сторонами.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По возможности требуется участие в соответствующей программе межлабораторных сравнительных испытаний.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Перечисление 4) может быть применимо только в том случае, при котором лаборатория демонстрирует, </w:t>
      </w:r>
      <w:r>
        <w:t>что Политика ИЛАК, указанная в перечислениях 1)-3), не может применяться по какой-либо причине. Обязанностью лаборатории является выбор способа выполнения настоящего пункта и предоставление надлежащих доказательств, которые должны быть документированы и оц</w:t>
      </w:r>
      <w:r>
        <w:t>енены органом по аккредитации.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4 Политика ИЛАК по прослеживаемости в рамках Договоренности ИЛАК в части проведения работ по испытаниям </w:t>
      </w:r>
    </w:p>
    <w:p w:rsidR="00000000" w:rsidRDefault="00FD0A47">
      <w:pPr>
        <w:pStyle w:val="FORMATTEXT"/>
        <w:ind w:firstLine="568"/>
        <w:jc w:val="both"/>
      </w:pPr>
      <w:r>
        <w:t>Договоренность ИЛАК в части проведения работ по испытаниям применима как испытательными лабораториями, аккредито</w:t>
      </w:r>
      <w:r>
        <w:t>ванными в соответствии с требованиями стандарта [2], так и медицинскими лабораториями, аккредитованными в соответствии с требованиями стандарта [3].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4.1 Требование к прослеживаемости в испытательных лабораториях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В отношении испытательных лабораторий треб</w:t>
      </w:r>
      <w:r>
        <w:t>ования, приведенные в подпункте 5.6.2.1 стандарта [2], применимы к используемому измерительному и испытательному оборудованию с измерительными функциями, если только не было установлено, что влияние калибровки на общую неопределенность результатов испытани</w:t>
      </w:r>
      <w:r>
        <w:t>й незначительно. Когда возникает такая ситуация, лаборатория должна гарантировать, что используемое оборудование может обеспечить необходимую неопределенность измерения.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Примечание - Степень выполнения требований подпункта 5.6.2.1 стандарта [2] должна за</w:t>
      </w:r>
      <w:r>
        <w:t>висеть от относительного вклада неопределенности калибровки в общую неопределенность. Если калибровка является доминирующим фактором, то требования должны быть строго соблюдены.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4.2 Требования к прослеживаемости программ калибровки и проверки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Программа </w:t>
      </w:r>
      <w:r>
        <w:t>калибровки измерения и проверки правильности должна быть составлена и выполнена так, чтобы была обеспечена прослеживаемость результатов к единицам СИ или привязкой к физической константе или другому установленному опорному значению.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4.2.1 Если калибровка </w:t>
      </w:r>
      <w:r>
        <w:t>средств измерений, используемых при проведении испытаний, вносит значительный вклад в общую неопределенность, применяется Политика ИЛАК по прослеживаемости как указано в перечислениях с 1) по 4) пункта 3.5.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4.2.2 Если калибровка не является основным факто</w:t>
      </w:r>
      <w:r>
        <w:t>ром, формирующим общую неопределенность при получении результата по проведенным испытаниям, лаборатория должна иметь количественные доказательства того, что соответствующий вклад калибровки не влияет (или влияет незначительно) на результат испытания и неоп</w:t>
      </w:r>
      <w:r>
        <w:t>ределенность проведенного испытания и поэтому нет необходимости демонстрировать прослеживаемость.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4.2.3 Если прослеживаемость к единицам СИ невозможна и/или нецелесообразна, то для испытательных лабораторий действуют те же самые требования по прослеживаем</w:t>
      </w:r>
      <w:r>
        <w:t xml:space="preserve">ости, что и для </w:t>
      </w:r>
      <w:r>
        <w:lastRenderedPageBreak/>
        <w:t>калибровочных лабораторий, например, к сертифицированным стандартным образцам, согласованным методикам и/или эталонам (см. подпункт 5.6.2.1.2 стандарта [2]).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 xml:space="preserve">В этом случае Политика ИЛАК по прослеживаемости идентична перечислению 4) пункта </w:t>
      </w:r>
      <w:r>
        <w:t>3.5.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В случае, когда ни один из способов (упомянутых в первом предложении пункта 5.6.3 стандарта [3]) невозможен или неприемлем, то должны быть использованы другие средства обеспечения доверия к результатам, включая, по меньшей мере, следующие: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а) участи</w:t>
      </w:r>
      <w:r>
        <w:t>е в подходящей программе межлабораторных сравнительных испытаний;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б) использование соответствующих стандартных образцов, сертифицированных с указанием характеризации материала;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в) исследование или калибровка по иной методике;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г) измерения методом отноше</w:t>
      </w:r>
      <w:r>
        <w:t>ния или методом взаимности;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д) взаимное согласование эталонов или методов, которые четко установлены, охарактеризованы и взаимно признаны всеми сторонами;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е) документирование данных относительно реагентов, методик или систем контроля, если прослеживаемос</w:t>
      </w:r>
      <w:r>
        <w:t>ть обеспечивается поставщиком или изготовителем.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В этом случае Политика ИЛАК по прослеживаемости идентична перечислению 4) пункта 3.5.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both"/>
        <w:rPr>
          <w:b/>
          <w:bCs/>
        </w:rPr>
      </w:pPr>
      <w:r>
        <w:rPr>
          <w:b/>
          <w:bCs/>
        </w:rPr>
        <w:t xml:space="preserve">      5 Политика ИЛАК по прослеживаемости при применении стандартных образцов и сертифицированных (аттестованных) ста</w:t>
      </w:r>
      <w:r>
        <w:rPr>
          <w:b/>
          <w:bCs/>
        </w:rPr>
        <w:t xml:space="preserve">ндартных образцов </w:t>
      </w: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5.1 Требования к прослеживаемости стандартных образцов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Стандартные образцы по возможности должны быть прослеживаемыми к единицам СИ или к сертифицированным стандартным образцам.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Примечания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1 Характеристики стандартных образцов могут н</w:t>
      </w:r>
      <w:r>
        <w:t>е быть метрологически прослеживаемы, а характеристики сертифицированных стандартных образцов должны прослеживаться обязательно.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2 На сегодняшний день Договоренность ИЛАК не учитывает аккредитацию производителей стандартных образцов. На региональном уровне</w:t>
      </w:r>
      <w:r>
        <w:t xml:space="preserve"> Азиатско-Тихоокеанская организация по аккредитации лабораторий APLAC оперирует правилами MRA для производителей стандартных образцов, в некоторых странах существуют системы по аккредитации производителей стандартных образцов, в связи с этим количество акк</w:t>
      </w:r>
      <w:r>
        <w:t>редитованных производителей стандартных образцов увеличивается.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rPr>
          <w:b/>
          <w:bCs/>
        </w:rPr>
        <w:t>5.2 Политика ИЛАК в отношении прослеживаемости через изготовителей стандартных образцов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5.2.1 Значения характеристик, приписанные сертифицированным стандартным образцам, произведенным научны</w:t>
      </w:r>
      <w:r>
        <w:t>ми метрологическими институтами (NMI) и включенным в Базу данных ключевых сличений Международного бюро мер и весов (BIPM KCDB) или полученные аккредитованным производителем стандартных образцов в соответствии с его областью аккредитации по руководству [5],</w:t>
      </w:r>
      <w:r>
        <w:t xml:space="preserve"> считаются имеющими установленную достоверную прослеживаемость (см. резолюцию Генеральной ассамблеи ИЛАК - ILAC 8.12).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5.2.2 Сертифицированные (аттестованные) стандартные образцы, которые внесены в базу данных объединенного комитета JCTLM, считаются допус</w:t>
      </w:r>
      <w:r>
        <w:t>тимыми к применению в соответствии с требованиями к прослеживаемости.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5.2.3 Большинство стандартных образцов и сертифицированных стандартных образцов производится другими производителями стандартных образцов. Они могут рассматриваться как важнейший расход</w:t>
      </w:r>
      <w:r>
        <w:t xml:space="preserve">ный материал и лаборатория должна продемонстрировать, что каждый стандартный образец или сертифицированный стандартный образец подходит для использования по </w:t>
      </w:r>
      <w:r>
        <w:lastRenderedPageBreak/>
        <w:t>назначению согласно требованиям пункта 4.6.2 в стандарте [2] или того же пункта в стандарте [3].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jc w:val="center"/>
      </w:pPr>
      <w:r>
        <w:t>П</w:t>
      </w:r>
      <w:r>
        <w:t>риложение А</w:t>
      </w:r>
    </w:p>
    <w:p w:rsidR="00000000" w:rsidRDefault="00FD0A47">
      <w:pPr>
        <w:pStyle w:val="FORMATTEXT"/>
        <w:jc w:val="center"/>
      </w:pPr>
      <w:r>
        <w:t xml:space="preserve">(справочное) </w:t>
      </w: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     </w:t>
      </w: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Руководящие указания для случаев, когда прослеживаемость установлена вне рамок Договоренности CIPM MRА и Договоренности ИЛАК </w:t>
      </w:r>
    </w:p>
    <w:p w:rsidR="00000000" w:rsidRDefault="00FD0A47">
      <w:pPr>
        <w:pStyle w:val="FORMATTEXT"/>
        <w:ind w:firstLine="568"/>
        <w:jc w:val="both"/>
      </w:pPr>
      <w:r>
        <w:t>После установления прослеживаемости либо по перечислению 3а), либо по перечислению 3б) пункта</w:t>
      </w:r>
      <w:r>
        <w:t xml:space="preserve"> 3.5 порядок действий будет следующим: во-первых, орган по аккредитации должен рассмотреть данный случай согласно положениям Политики ИЛАК по прослеживаемости; во-вторых, лаборатории должны соответствовать данной Политике ИЛАК; и, наконец, эксперты будут о</w:t>
      </w:r>
      <w:r>
        <w:t>ценивать эффективность Политики ИЛАК в ходе экспертных проверок, проводимых органами по аккредитации. Считается, что источники установления прослеживаемости согласно перечислениям 3а) и 3б) пункта 3.5 могут быть различными, начиная от NMI, выполняющих кали</w:t>
      </w:r>
      <w:r>
        <w:t>бровки вне рамок Договоренности CIPM MRA, аккредитованных лабораторий, осуществляющих калибровку вне своей области аккредитации, и заканчивая лабораториями, не имеющими аккредитаций на какие-либо услуги (по разным причинам).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Техническая компетентность лаб</w:t>
      </w:r>
      <w:r>
        <w:t>оратории и заявленная метрологическая прослеживаемость могут подтверждаться следующими свидетельствами, но не ограничиваться только ими (цифры соответствуют номерам пунктов в стандарте [2]):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записи о пригодности методики калибровки (5.4.5);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процедуры</w:t>
      </w:r>
      <w:r>
        <w:t xml:space="preserve"> по оценке неопределенности (5.4.6);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документация по прослеживаемости измерений (5.6);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документация об обеспечении качества результатов калибровки (5.9);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документация о компетентности персонала (5.2);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документация о требованиях к помещениям и у</w:t>
      </w:r>
      <w:r>
        <w:t>словиям окружающей среды (5.3);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- проверки (аудиты) калибровочных лабораторий (4.6.4 и 4.14).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FORMATTEXT"/>
        <w:ind w:firstLine="568"/>
        <w:jc w:val="both"/>
      </w:pPr>
      <w:r>
        <w:t>Стоит отметить, что неаккредитованным лабораториям, возможно, имеет смысл провести у себя оценку лаборатории, используемой для выполнения работ по калибровке, п</w:t>
      </w:r>
      <w:r>
        <w:t>одобную той, которая осуществляется аккредитующим органом по стандарту [2], чтобы убедиться в компетентной работе лаборатории. Выбор порядка по перечислениям 3а) или 3б) вряд ли будет сделан по чисто экономическим причинам, и, скорее всего, будет крайней м</w:t>
      </w:r>
      <w:r>
        <w:t>ерой, если другие варианты недоступны.</w:t>
      </w:r>
    </w:p>
    <w:p w:rsidR="00000000" w:rsidRDefault="00FD0A47">
      <w:pPr>
        <w:pStyle w:val="FORMATTEXT"/>
        <w:ind w:firstLine="568"/>
        <w:jc w:val="both"/>
      </w:pPr>
    </w:p>
    <w:p w:rsidR="00000000" w:rsidRDefault="00FD0A47">
      <w:pPr>
        <w:pStyle w:val="HEADERTEXT"/>
        <w:rPr>
          <w:b/>
          <w:bCs/>
        </w:rPr>
      </w:pPr>
    </w:p>
    <w:p w:rsidR="00000000" w:rsidRDefault="00FD0A47">
      <w:pPr>
        <w:pStyle w:val="HEADERTEXT"/>
        <w:jc w:val="center"/>
        <w:rPr>
          <w:b/>
          <w:bCs/>
        </w:rPr>
      </w:pPr>
      <w:r>
        <w:rPr>
          <w:b/>
          <w:bCs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720"/>
        <w:gridCol w:w="15"/>
        <w:gridCol w:w="165"/>
        <w:gridCol w:w="2010"/>
        <w:gridCol w:w="15"/>
        <w:gridCol w:w="165"/>
        <w:gridCol w:w="6030"/>
        <w:gridCol w:w="15"/>
        <w:gridCol w:w="1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6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84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словарь по метрологии - основные и общие понятия и связанные с ними термины VIM, 3-я редакция, JCGM 200:2012 (JCGM 200:2008 с незначительными изменениями) - доступные на офи</w:t>
            </w:r>
            <w:r>
              <w:rPr>
                <w:sz w:val="18"/>
                <w:szCs w:val="18"/>
              </w:rPr>
              <w:t xml:space="preserve">циальном сайте BIPM </w:t>
            </w:r>
            <w:r>
              <w:rPr>
                <w:sz w:val="18"/>
                <w:szCs w:val="18"/>
                <w:u w:val="single"/>
              </w:rPr>
              <w:t>www.bipm.orq</w:t>
            </w:r>
            <w:r>
              <w:rPr>
                <w:sz w:val="18"/>
                <w:szCs w:val="18"/>
              </w:rPr>
              <w:t xml:space="preserve"> или Руководство ИСО/МЭК 99:2007. Имеется русский перевод, Международный словарь по метрологии. Основные и общие понятия и соответствующие термины. - СПб: НПО Профессионал, 2010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</w:t>
            </w:r>
            <w:r w:rsidR="002E16C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</w:t>
            </w:r>
            <w:r>
              <w:rPr>
                <w:sz w:val="18"/>
                <w:szCs w:val="18"/>
              </w:rPr>
              <w:t xml:space="preserve">/МЭК 17025:2005 </w:t>
            </w:r>
          </w:p>
        </w:tc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Общие требования к компетентности испытательных и калибровочных лабораторий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 </w:t>
            </w:r>
            <w:r w:rsidR="002E16C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В Российской Федерации действует </w:t>
            </w:r>
            <w:r>
              <w:rPr>
                <w:color w:val="BF2F1C"/>
                <w:sz w:val="18"/>
                <w:szCs w:val="18"/>
                <w:u w:val="single"/>
              </w:rPr>
              <w:t>ГОСТ ИСО/МЭК 17025-2009</w:t>
            </w:r>
            <w:r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>
              <w:rPr>
                <w:sz w:val="18"/>
                <w:szCs w:val="18"/>
              </w:rPr>
              <w:t xml:space="preserve">. </w:t>
            </w:r>
          </w:p>
          <w:p w:rsidR="00000000" w:rsidRDefault="00FD0A47">
            <w:pPr>
              <w:pStyle w:val="FORMATTEXT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[3]</w:t>
            </w:r>
            <w:r w:rsidR="002E16C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ИСО 15189 </w:t>
            </w:r>
          </w:p>
        </w:tc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Лаборатории медицинские. Частные требования к качеству и компетентности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E16C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lastRenderedPageBreak/>
              <w:drawing>
                <wp:inline distT="0" distB="0" distL="0" distR="0">
                  <wp:extent cx="123825" cy="219075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0A47">
              <w:rPr>
                <w:sz w:val="18"/>
                <w:szCs w:val="18"/>
              </w:rPr>
              <w:t xml:space="preserve">В Российской Федерации действует </w:t>
            </w:r>
            <w:r w:rsidR="00FD0A47">
              <w:rPr>
                <w:color w:val="BF2F1C"/>
                <w:sz w:val="18"/>
                <w:szCs w:val="18"/>
                <w:u w:val="single"/>
              </w:rPr>
              <w:t>ГОСТ Р ИСО 15189-2009</w:t>
            </w:r>
            <w:r w:rsidR="00FD0A47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FD0A47">
              <w:rPr>
                <w:sz w:val="18"/>
                <w:szCs w:val="18"/>
              </w:rPr>
              <w:t xml:space="preserve">. </w:t>
            </w:r>
          </w:p>
          <w:p w:rsidR="00000000" w:rsidRDefault="00FD0A47">
            <w:pPr>
              <w:pStyle w:val="FORMATTEXT"/>
              <w:rPr>
                <w:sz w:val="18"/>
                <w:szCs w:val="18"/>
              </w:rPr>
            </w:pPr>
          </w:p>
          <w:p w:rsidR="00000000" w:rsidRDefault="00FD0A47">
            <w:pPr>
              <w:pStyle w:val="FORMATTEXT"/>
              <w:rPr>
                <w:sz w:val="18"/>
                <w:szCs w:val="18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</w:t>
            </w:r>
          </w:p>
        </w:tc>
        <w:tc>
          <w:tcPr>
            <w:tcW w:w="21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ILAC-G24:2007/</w:t>
            </w:r>
          </w:p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OIML D10:2007 </w:t>
            </w:r>
          </w:p>
        </w:tc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Методические указа</w:t>
            </w:r>
            <w:r>
              <w:rPr>
                <w:sz w:val="18"/>
                <w:szCs w:val="18"/>
              </w:rPr>
              <w:t>ния по определению межкалибровочных интервалов средств измерений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73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[5]</w:t>
            </w:r>
            <w:r w:rsidR="002E16C3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9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ISO Guide 34:2009 </w:t>
            </w:r>
          </w:p>
        </w:tc>
        <w:tc>
          <w:tcPr>
            <w:tcW w:w="6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Общие требования к компетентности производителей стандартных образцов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165" w:type="dxa"/>
        </w:trPr>
        <w:tc>
          <w:tcPr>
            <w:tcW w:w="913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2E16C3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23825" cy="219075"/>
                  <wp:effectExtent l="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D0A47">
              <w:rPr>
                <w:sz w:val="18"/>
                <w:szCs w:val="18"/>
              </w:rPr>
              <w:t xml:space="preserve">В Российской Федерации </w:t>
            </w:r>
            <w:r w:rsidR="00FD0A47">
              <w:rPr>
                <w:sz w:val="18"/>
                <w:szCs w:val="18"/>
              </w:rPr>
              <w:t xml:space="preserve">действует </w:t>
            </w:r>
            <w:r w:rsidR="00FD0A47">
              <w:rPr>
                <w:color w:val="0000AA"/>
                <w:sz w:val="18"/>
                <w:szCs w:val="18"/>
                <w:u w:val="single"/>
              </w:rPr>
              <w:t>ГОСТ Р 8.824-2013</w:t>
            </w:r>
            <w:r w:rsidR="00FD0A47">
              <w:rPr>
                <w:color w:val="0000FF"/>
                <w:sz w:val="18"/>
                <w:szCs w:val="18"/>
                <w:u w:val="single"/>
              </w:rPr>
              <w:t xml:space="preserve"> </w:t>
            </w:r>
            <w:r w:rsidR="00FD0A47">
              <w:rPr>
                <w:sz w:val="18"/>
                <w:szCs w:val="18"/>
              </w:rPr>
              <w:t xml:space="preserve">. </w:t>
            </w:r>
          </w:p>
        </w:tc>
      </w:tr>
    </w:tbl>
    <w:p w:rsidR="00000000" w:rsidRDefault="00FD0A4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p w:rsidR="00000000" w:rsidRDefault="00FD0A47">
      <w:pPr>
        <w:pStyle w:val="FORMATTEXT"/>
        <w:jc w:val="both"/>
      </w:pPr>
      <w:r>
        <w:t>                    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, sans-serif" w:hAnsi="Arial, sans-serif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УДК 389.14:006.354 </w:t>
            </w:r>
          </w:p>
        </w:tc>
        <w:tc>
          <w:tcPr>
            <w:tcW w:w="456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ОКС 17.020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FD0A47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Ключевые слова: политика ИЛАК, результаты измерения, прослеж</w:t>
            </w:r>
            <w:r>
              <w:rPr>
                <w:sz w:val="18"/>
                <w:szCs w:val="18"/>
              </w:rPr>
              <w:t xml:space="preserve">иваемость </w:t>
            </w:r>
          </w:p>
        </w:tc>
      </w:tr>
    </w:tbl>
    <w:p w:rsidR="00FD0A47" w:rsidRDefault="00FD0A47">
      <w:pPr>
        <w:widowControl w:val="0"/>
        <w:autoSpaceDE w:val="0"/>
        <w:autoSpaceDN w:val="0"/>
        <w:adjustRightInd w:val="0"/>
        <w:spacing w:after="0" w:line="240" w:lineRule="auto"/>
        <w:rPr>
          <w:rFonts w:ascii="Arial, sans-serif" w:hAnsi="Arial, sans-serif"/>
          <w:sz w:val="24"/>
          <w:szCs w:val="24"/>
        </w:rPr>
      </w:pPr>
    </w:p>
    <w:sectPr w:rsidR="00FD0A47">
      <w:headerReference w:type="default" r:id="rId8"/>
      <w:type w:val="continuous"/>
      <w:pgSz w:w="11907" w:h="16840"/>
      <w:pgMar w:top="850" w:right="850" w:bottom="1134" w:left="1417" w:header="280" w:footer="28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A47" w:rsidRDefault="00FD0A47">
      <w:pPr>
        <w:spacing w:after="0" w:line="240" w:lineRule="auto"/>
      </w:pPr>
      <w:r>
        <w:separator/>
      </w:r>
    </w:p>
  </w:endnote>
  <w:endnote w:type="continuationSeparator" w:id="0">
    <w:p w:rsidR="00FD0A47" w:rsidRDefault="00FD0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, sans-serif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A47" w:rsidRDefault="00FD0A47">
      <w:pPr>
        <w:spacing w:after="0" w:line="240" w:lineRule="auto"/>
      </w:pPr>
      <w:r>
        <w:separator/>
      </w:r>
    </w:p>
  </w:footnote>
  <w:footnote w:type="continuationSeparator" w:id="0">
    <w:p w:rsidR="00FD0A47" w:rsidRDefault="00FD0A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FD0A47">
    <w:pPr>
      <w:pStyle w:val="COLTOP"/>
      <w:rPr>
        <w:rFonts w:cs="Arial, sans-serif"/>
      </w:rPr>
    </w:pPr>
    <w:r>
      <w:rPr>
        <w:rFonts w:cs="Arial, sans-serif"/>
      </w:rPr>
      <w:t>Р 50.1.108-2016 Политика ИЛАК по прослеживаемости результатов измерений</w:t>
    </w:r>
  </w:p>
  <w:p w:rsidR="00000000" w:rsidRDefault="00FD0A47">
    <w:pPr>
      <w:pStyle w:val="COLTOP"/>
    </w:pPr>
    <w:r>
      <w:rPr>
        <w:rFonts w:cs="Arial, sans-serif"/>
        <w:i/>
        <w:iCs/>
      </w:rPr>
      <w:t>Применяется с 01.04.2017</w:t>
    </w:r>
  </w:p>
  <w:p w:rsidR="00000000" w:rsidRDefault="00FD0A47">
    <w:pPr>
      <w:pStyle w:val="COLTOP"/>
      <w:pBdr>
        <w:bottom w:val="single" w:sz="4" w:space="1" w:color="auto"/>
      </w:pBdr>
      <w:jc w:val="right"/>
    </w:pPr>
    <w:r>
      <w:t xml:space="preserve">Страница </w:t>
    </w:r>
    <w:r>
      <w:pgNum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6C3"/>
    <w:rsid w:val="002E16C3"/>
    <w:rsid w:val="00FD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0F09F6"/>
  <w14:defaultImageDpi w14:val="0"/>
  <w15:docId w15:val="{CB86AA5C-9506-4EE3-9CE8-60691011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16"/>
      <w:szCs w:val="16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radeMark">
    <w:name w:val=".TradeMar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 w:cs="Arial, sans-serif"/>
      <w:sz w:val="16"/>
      <w:szCs w:val="16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hAnsi="Arial, sans-seri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2E16C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E16C3"/>
  </w:style>
  <w:style w:type="paragraph" w:styleId="a5">
    <w:name w:val="footer"/>
    <w:basedOn w:val="a"/>
    <w:link w:val="a6"/>
    <w:uiPriority w:val="99"/>
    <w:unhideWhenUsed/>
    <w:rsid w:val="002E16C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E16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3304</Words>
  <Characters>18835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Р 50.1.108-2016 Политика ИЛАК по прослеживаемости результатов измерений </vt:lpstr>
    </vt:vector>
  </TitlesOfParts>
  <Company/>
  <LinksUpToDate>false</LinksUpToDate>
  <CharactersWithSpaces>22095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50.1.108-2016 Политика ИЛАК по прослеживаемости результатов измерений</dc:title>
  <dc:subject/>
  <dc:creator>Администрато</dc:creator>
  <cp:keywords/>
  <dc:description/>
  <cp:lastModifiedBy>Администрато</cp:lastModifiedBy>
  <cp:revision>2</cp:revision>
  <dcterms:created xsi:type="dcterms:W3CDTF">2019-11-27T18:59:00Z</dcterms:created>
  <dcterms:modified xsi:type="dcterms:W3CDTF">2019-11-27T18:59:00Z</dcterms:modified>
</cp:coreProperties>
</file>