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E2502">
      <w:pPr>
        <w:pStyle w:val="FORMATTEXT"/>
        <w:jc w:val="right"/>
      </w:pPr>
      <w:r>
        <w:rPr>
          <w:sz w:val="24"/>
          <w:szCs w:val="24"/>
        </w:rPr>
        <w:t xml:space="preserve">  </w:t>
      </w:r>
    </w:p>
    <w:p w:rsidR="00000000" w:rsidRDefault="00BE2502">
      <w:pPr>
        <w:pStyle w:val="FORMATTEXT"/>
        <w:jc w:val="right"/>
      </w:pPr>
      <w:r>
        <w:t>Р 50.2.028-2003</w:t>
      </w:r>
    </w:p>
    <w:p w:rsidR="00000000" w:rsidRDefault="00BE2502">
      <w:pPr>
        <w:pStyle w:val="FORMATTEXT"/>
        <w:jc w:val="right"/>
      </w:pPr>
    </w:p>
    <w:p w:rsidR="00000000" w:rsidRDefault="00BE2502">
      <w:pPr>
        <w:pStyle w:val="FORMATTEXT"/>
        <w:jc w:val="right"/>
      </w:pPr>
      <w:r>
        <w:t>Группа Т80</w:t>
      </w:r>
    </w:p>
    <w:p w:rsidR="00000000" w:rsidRDefault="00BE2502">
      <w:pPr>
        <w:pStyle w:val="FORMATTEXT"/>
        <w:jc w:val="right"/>
      </w:pP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РЕКОМЕНДАЦИИ ПО МЕТРОЛОГИИ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Государственная система обеспечения единства измерений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АЛГОРИТМЫ ПОСТРОЕНИЯ ГРАДУИРОВОЧНЫХ ХАРАКТЕРИСТИК СРЕДСТВ 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ИЗМЕРЕНИЙ СОСТАВА ВЕЩЕСТВ И МАТЕРИАЛОВ И</w:t>
      </w:r>
      <w:r>
        <w:rPr>
          <w:b/>
          <w:bCs/>
          <w:color w:val="000001"/>
        </w:rPr>
        <w:t xml:space="preserve"> ОЦЕНИВАНИЕ 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ИХ ПОГРЕШНОСТЕЙ (НЕОПРЕДЕЛЕННОСТЕЙ)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Оценивание погрешности (неопределенности) линейных </w:t>
      </w:r>
      <w:proofErr w:type="spellStart"/>
      <w:r>
        <w:rPr>
          <w:b/>
          <w:bCs/>
          <w:color w:val="000001"/>
        </w:rPr>
        <w:t>градуировочных</w:t>
      </w:r>
      <w:proofErr w:type="spellEnd"/>
      <w:r>
        <w:rPr>
          <w:b/>
          <w:bCs/>
          <w:color w:val="000001"/>
        </w:rPr>
        <w:t xml:space="preserve"> 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характеристик при использовании метода наименьших квадратов </w:t>
      </w:r>
    </w:p>
    <w:p w:rsidR="00000000" w:rsidRDefault="00BE2502">
      <w:pPr>
        <w:pStyle w:val="FORMATTEXT"/>
        <w:jc w:val="both"/>
      </w:pPr>
      <w:r>
        <w:t>ОКС 17.020</w:t>
      </w:r>
    </w:p>
    <w:p w:rsidR="00000000" w:rsidRDefault="00BE2502">
      <w:pPr>
        <w:pStyle w:val="FORMATTEXT"/>
        <w:jc w:val="both"/>
      </w:pPr>
      <w:r>
        <w:t xml:space="preserve">ОКСТУ 0008 </w:t>
      </w:r>
    </w:p>
    <w:p w:rsidR="00000000" w:rsidRDefault="00BE2502">
      <w:pPr>
        <w:pStyle w:val="FORMATTEXT"/>
        <w:jc w:val="right"/>
      </w:pPr>
      <w:r>
        <w:t>Дата введения 2004-01-01</w:t>
      </w:r>
    </w:p>
    <w:p w:rsidR="00000000" w:rsidRDefault="00BE2502">
      <w:pPr>
        <w:pStyle w:val="FORMATTEXT"/>
        <w:jc w:val="right"/>
      </w:pP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Предисловие </w:t>
      </w:r>
    </w:p>
    <w:p w:rsidR="00000000" w:rsidRDefault="00BE2502">
      <w:pPr>
        <w:pStyle w:val="FORMATTEXT"/>
        <w:ind w:firstLine="568"/>
        <w:jc w:val="both"/>
      </w:pPr>
      <w:r>
        <w:t xml:space="preserve">1 РАЗРАБОТАНЫ </w:t>
      </w:r>
      <w:r>
        <w:t xml:space="preserve">Федеральным государственным унитарным предприятием "Всероссийский научно-исследовательский институт метрологии им. </w:t>
      </w:r>
      <w:proofErr w:type="spellStart"/>
      <w:r>
        <w:t>Д.И.Менделеева</w:t>
      </w:r>
      <w:proofErr w:type="spellEnd"/>
      <w:r>
        <w:t xml:space="preserve">" (ФГУП "ВНИИМ им. </w:t>
      </w:r>
      <w:proofErr w:type="spellStart"/>
      <w:r>
        <w:t>Д.И.Менделеева</w:t>
      </w:r>
      <w:proofErr w:type="spellEnd"/>
      <w:r>
        <w:t>") Госстандарта России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ВНЕСЕНЫ Управлением метрологии Госстандарта России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2 ПРИНЯТЫ И ВВЕДЕН</w:t>
      </w:r>
      <w:r>
        <w:t>Ы В ДЕЙСТВИЕ Постановлением Госст</w:t>
      </w:r>
      <w:bookmarkStart w:id="0" w:name="_GoBack"/>
      <w:bookmarkEnd w:id="0"/>
      <w:r w:rsidR="00206069">
        <w:t>андарта России от 14 мая 2003 г</w:t>
      </w:r>
      <w:hyperlink r:id="rId5" w:history="1">
        <w:r w:rsidR="00206069" w:rsidRPr="00206069">
          <w:rPr>
            <w:rStyle w:val="a4"/>
            <w:color w:val="auto"/>
            <w:sz w:val="24"/>
            <w:szCs w:val="24"/>
            <w:u w:val="none"/>
          </w:rPr>
          <w:t>.</w:t>
        </w:r>
      </w:hyperlink>
      <w:r w:rsidRPr="00206069">
        <w:t xml:space="preserve"> </w:t>
      </w:r>
      <w:r>
        <w:t>N 142-ст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3 ВВЕДЕНЫ ВПЕРВЫЕ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 </w:t>
      </w:r>
    </w:p>
    <w:p w:rsidR="00000000" w:rsidRDefault="00BE2502">
      <w:pPr>
        <w:pStyle w:val="FORMATTEXT"/>
        <w:ind w:firstLine="568"/>
        <w:jc w:val="both"/>
      </w:pPr>
      <w:r>
        <w:t>Настоящие рекомендации распространяются на методы планирования измерительного эксперимента и оценивания характеристик погрешности (н</w:t>
      </w:r>
      <w:r>
        <w:t xml:space="preserve">еопределенности) построения линейных </w:t>
      </w:r>
      <w:proofErr w:type="spellStart"/>
      <w:r>
        <w:t>градуировочных</w:t>
      </w:r>
      <w:proofErr w:type="spellEnd"/>
      <w:r>
        <w:t xml:space="preserve"> характеристик средств измерений состава веществ и материалов (ГХ СИ) методом наименьших квадратов (МНК).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Определения и обозначения </w:t>
      </w:r>
    </w:p>
    <w:p w:rsidR="00000000" w:rsidRDefault="00BE2502">
      <w:pPr>
        <w:pStyle w:val="FORMATTEXT"/>
        <w:ind w:firstLine="568"/>
        <w:jc w:val="both"/>
      </w:pPr>
      <w:r>
        <w:t>2.1 В настоящих рекомендациях применены следующие термины с со</w:t>
      </w:r>
      <w:r>
        <w:t>ответствующими определениями: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proofErr w:type="spellStart"/>
      <w:r>
        <w:rPr>
          <w:b/>
          <w:bCs/>
        </w:rPr>
        <w:t>градуировочная</w:t>
      </w:r>
      <w:proofErr w:type="spellEnd"/>
      <w:r>
        <w:rPr>
          <w:b/>
          <w:bCs/>
        </w:rPr>
        <w:t> характеристика средства измерения состава веществ и материалов</w:t>
      </w:r>
      <w:r>
        <w:t>: Функциональная зависимость между входной (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выходной (</w:t>
      </w:r>
      <w:r w:rsidR="00DA091B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величинами, постр</w:t>
      </w:r>
      <w:r>
        <w:t xml:space="preserve">оенная на основе значений </w:t>
      </w:r>
      <w:proofErr w:type="spellStart"/>
      <w:r>
        <w:t>градуировочных</w:t>
      </w:r>
      <w:proofErr w:type="spellEnd"/>
      <w:r>
        <w:t xml:space="preserve"> смесей и результатов измерений соответствующих выходных величин в </w:t>
      </w:r>
      <w:r w:rsidR="00DA091B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точках диапазона измерений (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, </w:t>
      </w:r>
      <w:r w:rsidR="00DA091B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, где </w:t>
      </w:r>
      <w:r w:rsidR="00DA091B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=1,..., </w:t>
      </w:r>
      <w:r w:rsidR="00DA091B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r w:rsidR="00DA091B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=</w:t>
      </w:r>
      <w:r>
        <w:t xml:space="preserve">1,..., 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[1], [2];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>оценка стандартной неопределенности по типу А:</w:t>
      </w:r>
      <w:r>
        <w:t xml:space="preserve"> Оценка на основании результатов многократны</w:t>
      </w:r>
      <w:r>
        <w:t>х измерений [1], [2];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>оценка стандартной неопределенности по типу В:</w:t>
      </w:r>
      <w:r>
        <w:t xml:space="preserve"> Оценка на основании априорной информации [1], [2].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2.2 В настоящих рекомендациях применены следующие обозначения: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rPr>
          <w:i/>
          <w:iCs/>
        </w:rPr>
        <w:t>) </w:t>
      </w:r>
      <w:r w:rsidR="00BE2502">
        <w:t xml:space="preserve">- среднее </w:t>
      </w:r>
      <w:proofErr w:type="spellStart"/>
      <w:r w:rsidR="00BE2502">
        <w:t>квадратическое</w:t>
      </w:r>
      <w:proofErr w:type="spellEnd"/>
      <w:r w:rsidR="00BE2502">
        <w:t xml:space="preserve"> отклонение (СКО) однократного измерения выходной величины;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8"/>
        </w:rPr>
        <w:lastRenderedPageBreak/>
        <w:drawing>
          <wp:inline distT="0" distB="0" distL="0" distR="0">
            <wp:extent cx="146050" cy="182880"/>
            <wp:effectExtent l="0" t="0" r="635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10"/>
        </w:rPr>
        <w:drawing>
          <wp:inline distT="0" distB="0" distL="0" distR="0">
            <wp:extent cx="146050" cy="241300"/>
            <wp:effectExtent l="0" t="0" r="635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) - СКО среднего значения выходной величины;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10"/>
        </w:rPr>
        <w:drawing>
          <wp:inline distT="0" distB="0" distL="0" distR="0">
            <wp:extent cx="146050" cy="241300"/>
            <wp:effectExtent l="0" t="0" r="635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) - стандартная неопределенность среднего значения выходной величины, оцененная по типу А;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10"/>
        </w:rPr>
        <w:drawing>
          <wp:inline distT="0" distB="0" distL="0" distR="0">
            <wp:extent cx="146050" cy="241300"/>
            <wp:effectExtent l="0" t="0" r="635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) - стандартная неопределенность среднего значения выходной величины, оцененная по типу В;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) - стандартная неопределенность </w:t>
      </w:r>
      <w:proofErr w:type="spellStart"/>
      <w:r w:rsidR="00BE2502">
        <w:t>градуировочной</w:t>
      </w:r>
      <w:proofErr w:type="spellEnd"/>
      <w:r w:rsidR="00BE2502">
        <w:t xml:space="preserve"> смеси, оцененная по типу В;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) - СКО </w:t>
      </w:r>
      <w:proofErr w:type="spellStart"/>
      <w:r w:rsidR="00BE2502">
        <w:t>неисключенной</w:t>
      </w:r>
      <w:proofErr w:type="spellEnd"/>
      <w:r w:rsidR="00BE2502">
        <w:t xml:space="preserve"> систематической</w:t>
      </w:r>
      <w:r w:rsidR="00BE2502">
        <w:t xml:space="preserve"> погрешности </w:t>
      </w:r>
      <w:proofErr w:type="spellStart"/>
      <w:r w:rsidR="00BE2502">
        <w:t>градуировочных</w:t>
      </w:r>
      <w:proofErr w:type="spellEnd"/>
      <w:r w:rsidR="00BE2502">
        <w:t xml:space="preserve"> смесей;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7485" cy="219710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) - СКО погрешности построения ГХ СИ в </w:t>
      </w:r>
      <w:proofErr w:type="gramStart"/>
      <w:r w:rsidR="00BE2502">
        <w:t xml:space="preserve">точке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;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) - суммарная стандартная неопределенность построения ГХ СИ в </w:t>
      </w:r>
      <w:proofErr w:type="gramStart"/>
      <w:r w:rsidR="00BE2502">
        <w:t xml:space="preserve">точке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;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9710" cy="241300"/>
            <wp:effectExtent l="0" t="0" r="889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(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) - расширенная неопределенность построения ГХ СИ в </w:t>
      </w:r>
      <w:proofErr w:type="gramStart"/>
      <w:r w:rsidR="00BE2502">
        <w:t xml:space="preserve">точке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;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proofErr w:type="spellStart"/>
      <w:r>
        <w:t>cov</w:t>
      </w:r>
      <w:proofErr w:type="spellEnd"/>
      <w:r>
        <w:t> (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, </w:t>
      </w:r>
      <w:r w:rsidR="00DA091B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 xml:space="preserve"> - ковариация погрешностей </w:t>
      </w:r>
      <w:r w:rsidR="00DA091B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,</w:t>
      </w:r>
      <w:r>
        <w:t xml:space="preserve"> </w:t>
      </w:r>
      <w:r w:rsidR="00DA091B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t>градуировочных</w:t>
      </w:r>
      <w:proofErr w:type="spellEnd"/>
      <w:r>
        <w:t xml:space="preserve"> смесей;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ГХ - </w:t>
      </w:r>
      <w:proofErr w:type="spellStart"/>
      <w:r>
        <w:t>градуировочная</w:t>
      </w:r>
      <w:proofErr w:type="spellEnd"/>
      <w:r>
        <w:t xml:space="preserve"> харак</w:t>
      </w:r>
      <w:r>
        <w:t>теристика;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СИ - средство измерения.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Построение линейных </w:t>
      </w:r>
      <w:proofErr w:type="spellStart"/>
      <w:r>
        <w:rPr>
          <w:b/>
          <w:bCs/>
          <w:color w:val="000001"/>
        </w:rPr>
        <w:t>градуировочных</w:t>
      </w:r>
      <w:proofErr w:type="spellEnd"/>
      <w:r>
        <w:rPr>
          <w:b/>
          <w:bCs/>
          <w:color w:val="000001"/>
        </w:rPr>
        <w:t xml:space="preserve"> характеристик средств измерений (ГХ СИ) методом наименьших квадратов (МНК) </w:t>
      </w:r>
    </w:p>
    <w:p w:rsidR="00000000" w:rsidRDefault="00BE2502">
      <w:pPr>
        <w:pStyle w:val="FORMATTEXT"/>
        <w:ind w:firstLine="568"/>
        <w:jc w:val="both"/>
      </w:pPr>
      <w:r>
        <w:t>3.1 Исходными данными для построения ГХ СИ являются результаты измерений (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, </w:t>
      </w:r>
      <w:r w:rsidR="00DA091B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rPr>
          <w:i/>
          <w:iCs/>
        </w:rPr>
        <w:t>,</w:t>
      </w:r>
      <w:r>
        <w:t xml:space="preserve"> где </w:t>
      </w:r>
      <w:r w:rsidR="00DA091B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=1,..., </w:t>
      </w:r>
      <w:r w:rsidR="00DA091B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DA091B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=</w:t>
      </w:r>
      <w:r>
        <w:t xml:space="preserve">1,..., 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3.2 ГХ СИ задается в виде: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31240" cy="25590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,                                                     (1)</w:t>
      </w:r>
    </w:p>
    <w:p w:rsidR="00000000" w:rsidRDefault="00BE2502">
      <w:pPr>
        <w:pStyle w:val="FORMATTEXT"/>
        <w:jc w:val="both"/>
      </w:pPr>
      <w:r>
        <w:t>где</w:t>
      </w:r>
    </w:p>
    <w:p w:rsidR="00000000" w:rsidRDefault="00BE2502">
      <w:pPr>
        <w:pStyle w:val="FORMATTEXT"/>
        <w:jc w:val="right"/>
      </w:pPr>
      <w:r>
        <w:t> </w:t>
      </w:r>
      <w:r w:rsidR="00DA091B">
        <w:rPr>
          <w:noProof/>
          <w:position w:val="-17"/>
        </w:rPr>
        <w:drawing>
          <wp:inline distT="0" distB="0" distL="0" distR="0">
            <wp:extent cx="731520" cy="431800"/>
            <wp:effectExtent l="0" t="0" r="0" b="635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                                                             (2) </w:t>
      </w:r>
    </w:p>
    <w:p w:rsidR="00000000" w:rsidRDefault="00BE2502">
      <w:pPr>
        <w:pStyle w:val="FORMATTEXT"/>
        <w:ind w:firstLine="568"/>
        <w:jc w:val="both"/>
      </w:pPr>
      <w:r>
        <w:t>3.3 Оценки параметров ГХ СИ вычисляют по формулам: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687705" cy="621665"/>
            <wp:effectExtent l="0" t="0" r="0" b="698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                                         (3) </w:t>
      </w:r>
    </w:p>
    <w:p w:rsidR="00000000" w:rsidRDefault="00BE2502">
      <w:pPr>
        <w:pStyle w:val="FORMATTEXT"/>
        <w:jc w:val="right"/>
      </w:pPr>
      <w:r>
        <w:t>     </w:t>
      </w:r>
    </w:p>
    <w:p w:rsidR="00000000" w:rsidRDefault="00DA091B">
      <w:pPr>
        <w:pStyle w:val="FORMATTEXT"/>
        <w:jc w:val="right"/>
      </w:pPr>
      <w:r>
        <w:rPr>
          <w:noProof/>
          <w:position w:val="-35"/>
        </w:rPr>
        <w:drawing>
          <wp:inline distT="0" distB="0" distL="0" distR="0">
            <wp:extent cx="1097280" cy="862965"/>
            <wp:effectExtent l="0" t="0" r="762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                             (4)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r>
        <w:t>где</w:t>
      </w:r>
    </w:p>
    <w:p w:rsidR="00000000" w:rsidRDefault="00DA091B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848360" cy="431800"/>
            <wp:effectExtent l="0" t="0" r="8890" b="635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.            </w:t>
      </w:r>
      <w:r w:rsidR="00BE2502">
        <w:t xml:space="preserve">                                              (5)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Оценивание характеристик погрешности (неопределенности) построения ГХ СИ* </w:t>
      </w:r>
    </w:p>
    <w:p w:rsidR="00000000" w:rsidRDefault="00BE2502">
      <w:pPr>
        <w:pStyle w:val="FORMATTEXT"/>
        <w:jc w:val="both"/>
      </w:pPr>
      <w:r>
        <w:t xml:space="preserve">________________ </w:t>
      </w:r>
    </w:p>
    <w:p w:rsidR="00000000" w:rsidRDefault="00BE2502">
      <w:pPr>
        <w:pStyle w:val="FORMATTEXT"/>
        <w:ind w:firstLine="568"/>
        <w:jc w:val="both"/>
      </w:pPr>
      <w:r>
        <w:t xml:space="preserve">* В ФГУП "ВНИИМ им. </w:t>
      </w:r>
      <w:proofErr w:type="spellStart"/>
      <w:r>
        <w:t>Д.И.Менделеева</w:t>
      </w:r>
      <w:proofErr w:type="spellEnd"/>
      <w:r>
        <w:t>" разработана программа обработки данных и оценивания характеристик п</w:t>
      </w:r>
      <w:r>
        <w:t xml:space="preserve">огрешности (неопределенности) построения </w:t>
      </w:r>
      <w:proofErr w:type="spellStart"/>
      <w:r>
        <w:t>градуировочных</w:t>
      </w:r>
      <w:proofErr w:type="spellEnd"/>
      <w:r>
        <w:t xml:space="preserve"> характеристик средств измерений в соответствии с настоящими Рекомендациями.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4.1 Источниками погрешности (неопределенности) построения ГХ СИ являются: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- случайные погрешности измерения выходной </w:t>
      </w:r>
      <w:proofErr w:type="gramStart"/>
      <w:r>
        <w:t>велич</w:t>
      </w:r>
      <w:r>
        <w:t xml:space="preserve">ины </w:t>
      </w:r>
      <w:r w:rsidR="00DA091B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rPr>
          <w:i/>
          <w:iCs/>
        </w:rPr>
        <w:t>-</w:t>
      </w:r>
      <w:r>
        <w:t xml:space="preserve"> систематические погрешности </w:t>
      </w:r>
      <w:proofErr w:type="spellStart"/>
      <w:r>
        <w:t>градуировочных</w:t>
      </w:r>
      <w:proofErr w:type="spellEnd"/>
      <w:r>
        <w:t xml:space="preserve"> </w:t>
      </w:r>
      <w:proofErr w:type="gramStart"/>
      <w:r>
        <w:t xml:space="preserve">смесей 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>4.2 Оценивание СКО (стандартной неопределенности) случайной погрешности измерения выходной величины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4.2.1 При многократных </w:t>
      </w:r>
      <w:r>
        <w:t xml:space="preserve">равноточных измерениях (независимость СКО от точки диапазона) СКО (стандартную неопределенность) выходной величины </w:t>
      </w:r>
      <w:r w:rsidR="00DA091B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на основании экспериментальных данных (оценивание по типу А)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21"/>
        </w:rPr>
        <w:drawing>
          <wp:inline distT="0" distB="0" distL="0" distR="0">
            <wp:extent cx="3401695" cy="526415"/>
            <wp:effectExtent l="0" t="0" r="8255" b="698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9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.                   (6) </w:t>
      </w:r>
    </w:p>
    <w:p w:rsidR="00000000" w:rsidRDefault="00BE2502">
      <w:pPr>
        <w:pStyle w:val="FORMATTEXT"/>
        <w:ind w:firstLine="568"/>
        <w:jc w:val="both"/>
      </w:pPr>
      <w:r>
        <w:t xml:space="preserve">4.2.2 При однократных измерениях СКО (стандартная неопределенность) выходной величины </w:t>
      </w:r>
      <w:r w:rsidR="00DA091B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рассчитана по типу В, используя паспортные данные средства измерения о сходимости пока</w:t>
      </w:r>
      <w:r>
        <w:t>заний,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48360" cy="241300"/>
            <wp:effectExtent l="0" t="0" r="8890" b="635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                                               (7)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r>
        <w:t xml:space="preserve">где </w:t>
      </w:r>
      <w:r w:rsidR="00DA091B">
        <w:rPr>
          <w:noProof/>
          <w:position w:val="-10"/>
        </w:rPr>
        <w:drawing>
          <wp:inline distT="0" distB="0" distL="0" distR="0">
            <wp:extent cx="351155" cy="241300"/>
            <wp:effectExtent l="0" t="0" r="0" b="635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СКО случайной погрешности средства измерения.</w:t>
      </w:r>
    </w:p>
    <w:p w:rsidR="00000000" w:rsidRDefault="00BE2502">
      <w:pPr>
        <w:pStyle w:val="FORMATTEXT"/>
        <w:ind w:firstLine="568"/>
        <w:jc w:val="both"/>
      </w:pPr>
      <w:r>
        <w:t>4.3 СКО систематической погрешности (стандартную неопреде</w:t>
      </w:r>
      <w:r>
        <w:t xml:space="preserve">ленность) </w:t>
      </w:r>
      <w:proofErr w:type="spellStart"/>
      <w:r>
        <w:t>градуировочных</w:t>
      </w:r>
      <w:proofErr w:type="spellEnd"/>
      <w:r>
        <w:t xml:space="preserve"> смесей обычно оценивают на основании информации о границах допустимых погрешностей </w:t>
      </w:r>
      <w:proofErr w:type="spellStart"/>
      <w:r>
        <w:t>градуировочных</w:t>
      </w:r>
      <w:proofErr w:type="spellEnd"/>
      <w:r>
        <w:t xml:space="preserve"> смесей (по типу В) по формулам: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419225" cy="431800"/>
            <wp:effectExtent l="0" t="0" r="9525" b="635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-                                                  (8) </w:t>
      </w:r>
    </w:p>
    <w:p w:rsidR="00000000" w:rsidRDefault="00BE2502">
      <w:pPr>
        <w:pStyle w:val="FORMATTEXT"/>
        <w:ind w:firstLine="568"/>
        <w:jc w:val="both"/>
      </w:pPr>
      <w:r>
        <w:t>если норм</w:t>
      </w:r>
      <w:r>
        <w:t xml:space="preserve">ируют абсолютные погрешности </w:t>
      </w:r>
      <w:r w:rsidR="00DA091B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t>градуировочных</w:t>
      </w:r>
      <w:proofErr w:type="spellEnd"/>
      <w:r>
        <w:t xml:space="preserve"> смесей;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645920" cy="431800"/>
            <wp:effectExtent l="0" t="0" r="0" b="635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-                                           (9) </w:t>
      </w:r>
    </w:p>
    <w:p w:rsidR="00000000" w:rsidRDefault="00BE2502">
      <w:pPr>
        <w:pStyle w:val="FORMATTEXT"/>
        <w:ind w:firstLine="568"/>
        <w:jc w:val="both"/>
      </w:pPr>
      <w:r>
        <w:t xml:space="preserve">если нормируют относительные погрешности </w:t>
      </w:r>
      <w:r w:rsidR="00DA091B">
        <w:rPr>
          <w:noProof/>
          <w:position w:val="-9"/>
        </w:rPr>
        <w:drawing>
          <wp:inline distT="0" distB="0" distL="0" distR="0">
            <wp:extent cx="380365" cy="219710"/>
            <wp:effectExtent l="0" t="0" r="635" b="889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t>граду</w:t>
      </w:r>
      <w:r>
        <w:t>ировочных</w:t>
      </w:r>
      <w:proofErr w:type="spellEnd"/>
      <w:r>
        <w:t xml:space="preserve"> смесей.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 xml:space="preserve">4.4 Оценивание корреляции между погрешностями </w:t>
      </w:r>
      <w:proofErr w:type="spellStart"/>
      <w:r>
        <w:rPr>
          <w:b/>
          <w:bCs/>
        </w:rPr>
        <w:t>градуировочных</w:t>
      </w:r>
      <w:proofErr w:type="spellEnd"/>
      <w:r>
        <w:rPr>
          <w:b/>
          <w:bCs/>
        </w:rPr>
        <w:t xml:space="preserve"> смесей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4.4.1 Если </w:t>
      </w:r>
      <w:proofErr w:type="spellStart"/>
      <w:r>
        <w:t>градуировочные</w:t>
      </w:r>
      <w:proofErr w:type="spellEnd"/>
      <w:r>
        <w:t xml:space="preserve"> смеси готовились независимо, то в большинстве случаев можно считать их погрешности независимыми, в этом случае коэффициент корреляции равен ну</w:t>
      </w:r>
      <w:r>
        <w:t>лю и ковариацию оценивают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jc w:val="center"/>
      </w:pPr>
      <w:proofErr w:type="spellStart"/>
      <w:proofErr w:type="gramStart"/>
      <w:r>
        <w:t>cov</w:t>
      </w:r>
      <w:proofErr w:type="spellEnd"/>
      <w:r>
        <w:t xml:space="preserve"> </w:t>
      </w:r>
      <w:r w:rsidR="00DA091B">
        <w:rPr>
          <w:noProof/>
          <w:position w:val="-10"/>
        </w:rPr>
        <w:drawing>
          <wp:inline distT="0" distB="0" distL="0" distR="0">
            <wp:extent cx="1177925" cy="241300"/>
            <wp:effectExtent l="0" t="0" r="3175" b="635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000000" w:rsidRDefault="00BE2502">
      <w:pPr>
        <w:pStyle w:val="FORMATTEXT"/>
        <w:ind w:firstLine="568"/>
        <w:jc w:val="both"/>
      </w:pPr>
      <w:r>
        <w:t xml:space="preserve">4.4.2 Если </w:t>
      </w:r>
      <w:proofErr w:type="spellStart"/>
      <w:r>
        <w:t>градуировочные</w:t>
      </w:r>
      <w:proofErr w:type="spellEnd"/>
      <w:r>
        <w:t xml:space="preserve"> смеси готовились разбавлением основной смеси или с использованием одних и тех же стандартных образцов, то корреляция между погрешностями их приготовле</w:t>
      </w:r>
      <w:r>
        <w:t xml:space="preserve">ния может достичь 1, что соответствует присутствию постоянной систематической погрешности </w:t>
      </w:r>
      <w:proofErr w:type="spellStart"/>
      <w:r>
        <w:t>градуировочных</w:t>
      </w:r>
      <w:proofErr w:type="spellEnd"/>
      <w:r>
        <w:t xml:space="preserve"> смесей, в этом случае ковариацию оценивают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jc w:val="center"/>
      </w:pPr>
      <w:proofErr w:type="spellStart"/>
      <w:proofErr w:type="gramStart"/>
      <w:r>
        <w:lastRenderedPageBreak/>
        <w:t>cov</w:t>
      </w:r>
      <w:proofErr w:type="spellEnd"/>
      <w:r>
        <w:t xml:space="preserve"> </w:t>
      </w:r>
      <w:r w:rsidR="00DA091B">
        <w:rPr>
          <w:noProof/>
          <w:position w:val="-17"/>
        </w:rPr>
        <w:drawing>
          <wp:inline distT="0" distB="0" distL="0" distR="0">
            <wp:extent cx="1953260" cy="417195"/>
            <wp:effectExtent l="0" t="0" r="8890" b="190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 xml:space="preserve">4.5 Оценивание СКО погрешности (суммарной стандартной </w:t>
      </w:r>
      <w:r>
        <w:rPr>
          <w:b/>
          <w:bCs/>
        </w:rPr>
        <w:t>неопределенности) построения ГХ СИ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4.5.1 Если корреляция погрешностей </w:t>
      </w:r>
      <w:proofErr w:type="spellStart"/>
      <w:r>
        <w:t>градуировочных</w:t>
      </w:r>
      <w:proofErr w:type="spellEnd"/>
      <w:r>
        <w:t xml:space="preserve"> смесей отсутствует и характеристики абсолютных погрешностей </w:t>
      </w:r>
      <w:proofErr w:type="spellStart"/>
      <w:r>
        <w:t>градуировочных</w:t>
      </w:r>
      <w:proofErr w:type="spellEnd"/>
      <w:r>
        <w:t xml:space="preserve"> смесей остаются постоянными на всем диапазоне изменения входной величины, то СКО погрешности (с</w:t>
      </w:r>
      <w:r>
        <w:t xml:space="preserve">уммарную стандартную неопределенность) построения ГХ СИ вычисляют по формуле      </w:t>
      </w:r>
    </w:p>
    <w:p w:rsidR="00000000" w:rsidRDefault="00BE2502">
      <w:pPr>
        <w:pStyle w:val="FORMATTEXT"/>
        <w:jc w:val="right"/>
      </w:pPr>
      <w:r>
        <w:t>     </w:t>
      </w:r>
    </w:p>
    <w:p w:rsidR="00000000" w:rsidRDefault="00DA091B">
      <w:pPr>
        <w:pStyle w:val="FORMATTEXT"/>
        <w:jc w:val="right"/>
      </w:pPr>
      <w:r>
        <w:rPr>
          <w:noProof/>
          <w:position w:val="-68"/>
        </w:rPr>
        <w:drawing>
          <wp:inline distT="0" distB="0" distL="0" distR="0">
            <wp:extent cx="3343275" cy="1726565"/>
            <wp:effectExtent l="0" t="0" r="9525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2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,                         (10)</w:t>
      </w:r>
    </w:p>
    <w:p w:rsidR="00000000" w:rsidRDefault="00BE2502">
      <w:pPr>
        <w:pStyle w:val="FORMATTEXT"/>
        <w:jc w:val="both"/>
      </w:pPr>
      <w:r>
        <w:t xml:space="preserve">где </w:t>
      </w:r>
      <w:r w:rsidR="00DA091B">
        <w:rPr>
          <w:noProof/>
          <w:position w:val="-8"/>
        </w:rPr>
        <w:drawing>
          <wp:inline distT="0" distB="0" distL="0" distR="0">
            <wp:extent cx="116840" cy="182880"/>
            <wp:effectExtent l="0" t="0" r="0" b="762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границы абсолютных погрешностей </w:t>
      </w:r>
      <w:proofErr w:type="spellStart"/>
      <w:r>
        <w:t>градуировочных</w:t>
      </w:r>
      <w:proofErr w:type="spellEnd"/>
      <w:r>
        <w:t xml:space="preserve"> смесей. </w:t>
      </w:r>
    </w:p>
    <w:p w:rsidR="00000000" w:rsidRDefault="00BE2502">
      <w:pPr>
        <w:pStyle w:val="FORMATTEXT"/>
        <w:ind w:firstLine="568"/>
        <w:jc w:val="both"/>
      </w:pPr>
      <w:r>
        <w:t>Есл</w:t>
      </w:r>
      <w:r>
        <w:t xml:space="preserve">и корреляция погрешностей </w:t>
      </w:r>
      <w:proofErr w:type="spellStart"/>
      <w:r>
        <w:t>градуировочных</w:t>
      </w:r>
      <w:proofErr w:type="spellEnd"/>
      <w:r>
        <w:t xml:space="preserve"> смесей отсутствует, а характеристики погрешности </w:t>
      </w:r>
      <w:proofErr w:type="spellStart"/>
      <w:r>
        <w:t>градуировочных</w:t>
      </w:r>
      <w:proofErr w:type="spellEnd"/>
      <w:r>
        <w:t xml:space="preserve"> смесей зависят от точки диапазона, то СКО погрешности (суммарную стандартную неопределенность) построения ГХ СИ вычисляют по формуле          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jc w:val="right"/>
      </w:pPr>
      <w:r>
        <w:t>     </w:t>
      </w:r>
      <w:r w:rsidR="00DA091B">
        <w:rPr>
          <w:noProof/>
          <w:position w:val="-95"/>
        </w:rPr>
        <w:drawing>
          <wp:inline distT="0" distB="0" distL="0" distR="0">
            <wp:extent cx="5164455" cy="2392045"/>
            <wp:effectExtent l="0" t="0" r="0" b="825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455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(11)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r>
        <w:t xml:space="preserve">где </w:t>
      </w:r>
      <w:r w:rsidR="00DA091B">
        <w:rPr>
          <w:noProof/>
          <w:position w:val="-8"/>
        </w:rPr>
        <w:drawing>
          <wp:inline distT="0" distB="0" distL="0" distR="0">
            <wp:extent cx="116840" cy="182880"/>
            <wp:effectExtent l="0" t="0" r="0" b="762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- границы абсолютных погрешностей </w:t>
      </w:r>
      <w:proofErr w:type="spellStart"/>
      <w:r>
        <w:t>градуировочных</w:t>
      </w:r>
      <w:proofErr w:type="spellEnd"/>
      <w:r>
        <w:t xml:space="preserve"> смесей в </w:t>
      </w:r>
      <w:proofErr w:type="gramStart"/>
      <w:r>
        <w:t xml:space="preserve">точке 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  <w:proofErr w:type="gramEnd"/>
    </w:p>
    <w:p w:rsidR="00000000" w:rsidRDefault="00BE2502">
      <w:pPr>
        <w:pStyle w:val="FORMATTEXT"/>
        <w:ind w:firstLine="568"/>
        <w:jc w:val="both"/>
      </w:pPr>
      <w:r>
        <w:t>4.5.2 Если корреляция погрешносте</w:t>
      </w:r>
      <w:r>
        <w:t xml:space="preserve">й </w:t>
      </w:r>
      <w:proofErr w:type="spellStart"/>
      <w:r>
        <w:t>градуировочных</w:t>
      </w:r>
      <w:proofErr w:type="spellEnd"/>
      <w:r>
        <w:t xml:space="preserve"> смесей присутствует и характеристики абсолютных погрешностей </w:t>
      </w:r>
      <w:proofErr w:type="spellStart"/>
      <w:r>
        <w:t>градуировочных</w:t>
      </w:r>
      <w:proofErr w:type="spellEnd"/>
      <w:r>
        <w:t xml:space="preserve"> смесей остаются постоянными на всем диапазоне изменения входной величины, то СКО погрешности (суммарную стандартную неопределенность) построения ГХ СИ вычисляют по</w:t>
      </w:r>
      <w:r>
        <w:t xml:space="preserve"> формуле      </w:t>
      </w:r>
    </w:p>
    <w:p w:rsidR="00000000" w:rsidRDefault="00BE2502">
      <w:pPr>
        <w:pStyle w:val="FORMATTEXT"/>
        <w:jc w:val="center"/>
      </w:pPr>
      <w:r>
        <w:t xml:space="preserve">  </w:t>
      </w:r>
    </w:p>
    <w:p w:rsidR="00000000" w:rsidRDefault="00DA091B">
      <w:pPr>
        <w:pStyle w:val="TOPLEVELTEXT"/>
        <w:jc w:val="center"/>
      </w:pPr>
      <w:r>
        <w:rPr>
          <w:noProof/>
          <w:position w:val="-36"/>
        </w:rPr>
        <w:drawing>
          <wp:inline distT="0" distB="0" distL="0" distR="0">
            <wp:extent cx="2940685" cy="92202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E2502">
      <w:pPr>
        <w:pStyle w:val="FORMATTEXT"/>
        <w:jc w:val="right"/>
      </w:pPr>
      <w:r>
        <w:t>     </w:t>
      </w:r>
    </w:p>
    <w:p w:rsidR="00000000" w:rsidRDefault="00DA091B">
      <w:pPr>
        <w:pStyle w:val="FORMATTEXT"/>
        <w:jc w:val="right"/>
      </w:pPr>
      <w:r>
        <w:rPr>
          <w:noProof/>
          <w:position w:val="-37"/>
        </w:rPr>
        <w:lastRenderedPageBreak/>
        <w:drawing>
          <wp:inline distT="0" distB="0" distL="0" distR="0">
            <wp:extent cx="3021330" cy="922020"/>
            <wp:effectExtent l="0" t="0" r="762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.                          (12) </w:t>
      </w:r>
    </w:p>
    <w:p w:rsidR="00000000" w:rsidRDefault="00BE2502">
      <w:pPr>
        <w:pStyle w:val="FORMATTEXT"/>
        <w:ind w:firstLine="568"/>
        <w:jc w:val="both"/>
      </w:pPr>
      <w:r>
        <w:t xml:space="preserve">Если присутствует корреляция погрешностей </w:t>
      </w:r>
      <w:proofErr w:type="spellStart"/>
      <w:r>
        <w:t>градуировочных</w:t>
      </w:r>
      <w:proofErr w:type="spellEnd"/>
      <w:r>
        <w:t xml:space="preserve"> смесей, а характеристики погрешностей </w:t>
      </w:r>
      <w:proofErr w:type="spellStart"/>
      <w:r>
        <w:t>градуировочных</w:t>
      </w:r>
      <w:proofErr w:type="spellEnd"/>
      <w:r>
        <w:t xml:space="preserve"> смесей зависят от </w:t>
      </w:r>
      <w:r>
        <w:t>точки диапазона, то СКО погрешности (суммарную стандартную неопределенность) построения ГХ СИ вычисляют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jc w:val="right"/>
      </w:pPr>
      <w:r>
        <w:t> </w:t>
      </w:r>
      <w:r w:rsidR="00DA091B">
        <w:rPr>
          <w:noProof/>
          <w:position w:val="-40"/>
        </w:rPr>
        <w:drawing>
          <wp:inline distT="0" distB="0" distL="0" distR="0">
            <wp:extent cx="5991225" cy="987425"/>
            <wp:effectExtent l="0" t="0" r="9525" b="317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    </w:t>
      </w:r>
    </w:p>
    <w:p w:rsidR="00000000" w:rsidRDefault="00BE2502">
      <w:pPr>
        <w:pStyle w:val="FORMATTEXT"/>
        <w:jc w:val="right"/>
      </w:pPr>
      <w:r>
        <w:t xml:space="preserve">  </w:t>
      </w:r>
    </w:p>
    <w:p w:rsidR="00000000" w:rsidRDefault="00DA091B">
      <w:pPr>
        <w:pStyle w:val="FORMATTEXT"/>
        <w:jc w:val="right"/>
      </w:pPr>
      <w:r>
        <w:rPr>
          <w:noProof/>
          <w:position w:val="-37"/>
        </w:rPr>
        <w:drawing>
          <wp:inline distT="0" distB="0" distL="0" distR="0">
            <wp:extent cx="5332730" cy="914400"/>
            <wp:effectExtent l="0" t="0" r="127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7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(13) </w:t>
      </w:r>
    </w:p>
    <w:p w:rsidR="00000000" w:rsidRDefault="00BE2502">
      <w:pPr>
        <w:pStyle w:val="FORMATTEXT"/>
        <w:ind w:firstLine="568"/>
        <w:jc w:val="both"/>
      </w:pPr>
      <w:r>
        <w:t>4.6 При вычислении доверительных границ погрешнос</w:t>
      </w:r>
      <w:r>
        <w:t xml:space="preserve">ти (расширенной неопределенности) построения ГХ СИ рекомендуется использовать следующие коэффициенты </w:t>
      </w:r>
      <w:proofErr w:type="gramStart"/>
      <w:r>
        <w:t xml:space="preserve">охвата </w:t>
      </w:r>
      <w:r w:rsidR="00DA091B"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: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=2 - при доверительной вероятности </w:t>
      </w:r>
      <w:r w:rsidR="00BE2502">
        <w:rPr>
          <w:i/>
          <w:iCs/>
        </w:rPr>
        <w:t>Р</w:t>
      </w:r>
      <w:r w:rsidR="00BE2502">
        <w:t>=0,95;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rPr>
          <w:i/>
          <w:iCs/>
        </w:rPr>
        <w:t>=</w:t>
      </w:r>
      <w:r w:rsidR="00BE2502">
        <w:t xml:space="preserve">3 - при доверительной вероятности </w:t>
      </w:r>
      <w:r w:rsidR="00BE2502">
        <w:rPr>
          <w:i/>
          <w:iCs/>
        </w:rPr>
        <w:t>Р=</w:t>
      </w:r>
      <w:r w:rsidR="00BE2502">
        <w:t>0,99.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Доверительные границы (расширенную неопределенность) вычисляют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207135" cy="241300"/>
            <wp:effectExtent l="0" t="0" r="0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.                                                (14)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BE2502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>    </w:t>
      </w:r>
      <w:r>
        <w:rPr>
          <w:b/>
          <w:bCs/>
          <w:color w:val="000001"/>
        </w:rPr>
        <w:t xml:space="preserve"> 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Планирование измерений при построении линейных ГХ СИ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 </w:t>
      </w:r>
    </w:p>
    <w:p w:rsidR="00000000" w:rsidRDefault="00BE2502">
      <w:pPr>
        <w:pStyle w:val="FORMATTEXT"/>
        <w:ind w:firstLine="568"/>
        <w:jc w:val="both"/>
      </w:pPr>
      <w:r>
        <w:t>5.1 Планирование измерений направлено на оптимизацию затрат при проведении измерений для достижения требуемой точности построения ГХ СИ и проводится на этапе разработки методик выпо</w:t>
      </w:r>
      <w:r>
        <w:t xml:space="preserve">лнения измерений. Планирование измерений заключается в выборе числа параллельных измерений в </w:t>
      </w:r>
      <w:proofErr w:type="gramStart"/>
      <w:r>
        <w:t xml:space="preserve">точке 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,</w:t>
      </w:r>
      <w:proofErr w:type="gramEnd"/>
      <w:r>
        <w:t xml:space="preserve"> числа </w:t>
      </w:r>
      <w:proofErr w:type="spellStart"/>
      <w:r>
        <w:t>градуировочных</w:t>
      </w:r>
      <w:proofErr w:type="spellEnd"/>
      <w:r>
        <w:t xml:space="preserve"> точек </w:t>
      </w:r>
      <w:r w:rsidR="00DA091B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а также установлении требований к точности </w:t>
      </w:r>
      <w:proofErr w:type="spellStart"/>
      <w:r>
        <w:t>градуировочн</w:t>
      </w:r>
      <w:r>
        <w:t>ых</w:t>
      </w:r>
      <w:proofErr w:type="spellEnd"/>
      <w:r>
        <w:t xml:space="preserve"> смесей, исходя из требуемой точности построения </w:t>
      </w:r>
      <w:proofErr w:type="spellStart"/>
      <w:r>
        <w:t>градуировочной</w:t>
      </w:r>
      <w:proofErr w:type="spellEnd"/>
      <w:r>
        <w:t xml:space="preserve"> характеристики. Ниже приводится одно из возможных простых решений задачи планирования измерений. После выбора числа параллельных измерений в </w:t>
      </w:r>
      <w:proofErr w:type="gramStart"/>
      <w:r>
        <w:t xml:space="preserve">точке </w:t>
      </w:r>
      <w:r w:rsidR="00DA091B">
        <w:rPr>
          <w:noProof/>
          <w:position w:val="-9"/>
        </w:rPr>
        <w:drawing>
          <wp:inline distT="0" distB="0" distL="0" distR="0">
            <wp:extent cx="116840" cy="219710"/>
            <wp:effectExtent l="0" t="0" r="0" b="889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,</w:t>
      </w:r>
      <w:proofErr w:type="gramEnd"/>
      <w:r>
        <w:t xml:space="preserve"> числа </w:t>
      </w:r>
      <w:proofErr w:type="spellStart"/>
      <w:r>
        <w:t>градуировочных</w:t>
      </w:r>
      <w:proofErr w:type="spellEnd"/>
      <w:r>
        <w:t xml:space="preserve"> точек (</w:t>
      </w:r>
      <w:r w:rsidR="00DA091B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а также точности </w:t>
      </w:r>
      <w:proofErr w:type="spellStart"/>
      <w:r>
        <w:t>градуировочных</w:t>
      </w:r>
      <w:proofErr w:type="spellEnd"/>
      <w:r>
        <w:t xml:space="preserve"> смесей оценивание характеристик погрешности (неопределенности) ГХ СИ следует проводить в соответствии с разделом 4.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>5.2 Число</w:t>
      </w:r>
      <w:r>
        <w:t xml:space="preserve"> измерений 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точке рационально выбирать из условия незначительного (не более 20%) роста суммарной погрешности по сравнению с систематической составляющей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2260600" cy="482600"/>
            <wp:effectExtent l="0" t="0" r="635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.                  </w:t>
      </w:r>
      <w:r w:rsidR="00BE2502">
        <w:t xml:space="preserve">                     (15) </w:t>
      </w:r>
    </w:p>
    <w:p w:rsidR="00000000" w:rsidRDefault="00BE2502">
      <w:pPr>
        <w:pStyle w:val="FORMATTEXT"/>
        <w:ind w:firstLine="568"/>
        <w:jc w:val="both"/>
      </w:pPr>
      <w:r>
        <w:t xml:space="preserve">5.3 Если погрешности </w:t>
      </w:r>
      <w:proofErr w:type="spellStart"/>
      <w:r>
        <w:t>градуировочных</w:t>
      </w:r>
      <w:proofErr w:type="spellEnd"/>
      <w:r>
        <w:t xml:space="preserve"> смесей не коррелированы, то требуемая точность построения ГХ СИ может быть достигнута за счет увеличения числа </w:t>
      </w:r>
      <w:proofErr w:type="spellStart"/>
      <w:r>
        <w:t>градуировочных</w:t>
      </w:r>
      <w:proofErr w:type="spellEnd"/>
      <w:r>
        <w:t xml:space="preserve"> смесей и уменьшения их погрешностей в соответствии с формулой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2626360" cy="621665"/>
            <wp:effectExtent l="0" t="0" r="2540" b="698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          (16)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r>
        <w:t xml:space="preserve">где </w:t>
      </w:r>
      <w:r w:rsidR="00DA091B">
        <w:rPr>
          <w:noProof/>
          <w:position w:val="-13"/>
        </w:rPr>
        <w:drawing>
          <wp:inline distT="0" distB="0" distL="0" distR="0">
            <wp:extent cx="351155" cy="314325"/>
            <wp:effectExtent l="0" t="0" r="0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допустимая суммарная стандартная неопределенность построения ГХ СИ (СКО допустимой погрешности).</w:t>
      </w:r>
    </w:p>
    <w:p w:rsidR="00000000" w:rsidRDefault="00BE2502">
      <w:pPr>
        <w:pStyle w:val="FORMATTEXT"/>
        <w:ind w:firstLine="568"/>
        <w:jc w:val="both"/>
      </w:pPr>
      <w:r>
        <w:t xml:space="preserve">5.4 Если погрешности </w:t>
      </w:r>
      <w:proofErr w:type="spellStart"/>
      <w:r>
        <w:t>градуировочных</w:t>
      </w:r>
      <w:proofErr w:type="spellEnd"/>
      <w:r>
        <w:t xml:space="preserve"> смесей кор</w:t>
      </w:r>
      <w:r>
        <w:t xml:space="preserve">релированы, то при построении линейных ГХ СИ рекомендуется использовать две </w:t>
      </w:r>
      <w:proofErr w:type="spellStart"/>
      <w:r>
        <w:t>градуировочные</w:t>
      </w:r>
      <w:proofErr w:type="spellEnd"/>
      <w:r>
        <w:t xml:space="preserve"> смеси. При этом должны быть обеспечены следующие погрешности </w:t>
      </w:r>
      <w:proofErr w:type="spellStart"/>
      <w:r>
        <w:t>градуировочных</w:t>
      </w:r>
      <w:proofErr w:type="spellEnd"/>
      <w:r>
        <w:t xml:space="preserve"> смесей, исходя из требований к точности построения ГХ СИ: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655570" cy="570865"/>
            <wp:effectExtent l="0" t="0" r="0" b="63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.                                   (17)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6 Контроль стабильности ГХ СИ </w:t>
      </w:r>
    </w:p>
    <w:p w:rsidR="00000000" w:rsidRDefault="00BE2502">
      <w:pPr>
        <w:pStyle w:val="FORMATTEXT"/>
        <w:ind w:firstLine="568"/>
        <w:jc w:val="both"/>
      </w:pPr>
      <w:r>
        <w:t xml:space="preserve">6.1 Обычно процедура контроля стабильности ГХ СИ состоит в сравнении измеренного значения выходного сигнала в </w:t>
      </w:r>
      <w:proofErr w:type="spellStart"/>
      <w:r>
        <w:t>градуировочных</w:t>
      </w:r>
      <w:proofErr w:type="spellEnd"/>
      <w:r>
        <w:t xml:space="preserve"> точках с его оценкой по ГХ СИ (данный результа</w:t>
      </w:r>
      <w:r>
        <w:t>т измерения не используется при построении ГХ СИ). Для линейной ГХ СИ число точек контроля должно быть не менее двух.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6.2 Если погрешности </w:t>
      </w:r>
      <w:proofErr w:type="spellStart"/>
      <w:r>
        <w:t>градуировочных</w:t>
      </w:r>
      <w:proofErr w:type="spellEnd"/>
      <w:r>
        <w:t xml:space="preserve"> смесей не коррелированы, то проверяют следующие условия в соответствии с формулами: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3694430" cy="292735"/>
            <wp:effectExtent l="0" t="0" r="127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430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- </w:t>
      </w:r>
      <w:proofErr w:type="gramStart"/>
      <w:r w:rsidR="00BE2502">
        <w:t xml:space="preserve">при </w:t>
      </w:r>
      <w:r>
        <w:rPr>
          <w:noProof/>
          <w:position w:val="-8"/>
        </w:rPr>
        <w:drawing>
          <wp:inline distT="0" distB="0" distL="0" distR="0">
            <wp:extent cx="387985" cy="197485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;</w:t>
      </w:r>
      <w:proofErr w:type="gramEnd"/>
      <w:r w:rsidR="00BE2502">
        <w:t xml:space="preserve">   (18) </w:t>
      </w:r>
    </w:p>
    <w:p w:rsidR="00000000" w:rsidRDefault="00BE2502">
      <w:pPr>
        <w:pStyle w:val="FORMATTEXT"/>
        <w:jc w:val="right"/>
      </w:pPr>
      <w:r>
        <w:t>     </w:t>
      </w:r>
      <w:r w:rsidR="00DA091B">
        <w:rPr>
          <w:noProof/>
          <w:position w:val="-13"/>
        </w:rPr>
        <w:drawing>
          <wp:inline distT="0" distB="0" distL="0" distR="0">
            <wp:extent cx="4184015" cy="307340"/>
            <wp:effectExtent l="0" t="0" r="698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proofErr w:type="gramStart"/>
      <w:r>
        <w:t xml:space="preserve">при </w:t>
      </w:r>
      <w:r w:rsidR="00DA091B">
        <w:rPr>
          <w:noProof/>
          <w:position w:val="-8"/>
        </w:rPr>
        <w:drawing>
          <wp:inline distT="0" distB="0" distL="0" distR="0">
            <wp:extent cx="409575" cy="197485"/>
            <wp:effectExtent l="0" t="0" r="952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  (19)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r>
        <w:t xml:space="preserve">где 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измеренное значение выходного сиг</w:t>
      </w:r>
      <w:r>
        <w:t xml:space="preserve">нала в </w:t>
      </w:r>
      <w:proofErr w:type="gramStart"/>
      <w:r>
        <w:t xml:space="preserve">точке 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- оценка выходного сигнала по ГХ СИ в </w:t>
      </w:r>
      <w:proofErr w:type="gramStart"/>
      <w:r w:rsidR="00BE2502">
        <w:t xml:space="preserve">точке </w:t>
      </w:r>
      <w:r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.</w:t>
      </w:r>
      <w:proofErr w:type="gramEnd"/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6.3 Если погрешности </w:t>
      </w:r>
      <w:proofErr w:type="spellStart"/>
      <w:r>
        <w:t>градуировочных</w:t>
      </w:r>
      <w:proofErr w:type="spellEnd"/>
      <w:r>
        <w:t xml:space="preserve"> смесей коррелированы, то проверяют следующие условия в соответствии с формулами: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777365" cy="255905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- </w:t>
      </w:r>
      <w:proofErr w:type="gramStart"/>
      <w:r w:rsidR="00BE2502">
        <w:t xml:space="preserve">при </w:t>
      </w:r>
      <w:r>
        <w:rPr>
          <w:noProof/>
          <w:position w:val="-8"/>
        </w:rPr>
        <w:drawing>
          <wp:inline distT="0" distB="0" distL="0" distR="0">
            <wp:extent cx="387985" cy="19748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;</w:t>
      </w:r>
      <w:proofErr w:type="gramEnd"/>
      <w:r w:rsidR="00BE2502">
        <w:t xml:space="preserve">                      </w:t>
      </w:r>
      <w:r w:rsidR="00BE2502">
        <w:t>          (20)</w:t>
      </w:r>
    </w:p>
    <w:p w:rsidR="00000000" w:rsidRDefault="00BE2502">
      <w:pPr>
        <w:pStyle w:val="FORMATTEXT"/>
        <w:jc w:val="right"/>
      </w:pPr>
    </w:p>
    <w:p w:rsidR="00000000" w:rsidRDefault="00DA091B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2019300" cy="263525"/>
            <wp:effectExtent l="0" t="0" r="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- </w:t>
      </w:r>
      <w:proofErr w:type="gramStart"/>
      <w:r w:rsidR="00BE2502">
        <w:t xml:space="preserve">при </w:t>
      </w:r>
      <w:r>
        <w:rPr>
          <w:noProof/>
          <w:position w:val="-8"/>
        </w:rPr>
        <w:drawing>
          <wp:inline distT="0" distB="0" distL="0" distR="0">
            <wp:extent cx="409575" cy="197485"/>
            <wp:effectExtent l="0" t="0" r="952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.</w:t>
      </w:r>
      <w:proofErr w:type="gramEnd"/>
      <w:r w:rsidR="00BE2502">
        <w:t xml:space="preserve">                        (21)</w:t>
      </w:r>
    </w:p>
    <w:p w:rsidR="00000000" w:rsidRDefault="00BE2502">
      <w:pPr>
        <w:pStyle w:val="FORMATTEXT"/>
        <w:jc w:val="center"/>
      </w:pPr>
      <w:r>
        <w:t>ПРИЛОЖЕНИЕ А</w:t>
      </w:r>
    </w:p>
    <w:p w:rsidR="00000000" w:rsidRDefault="00BE2502">
      <w:pPr>
        <w:pStyle w:val="FORMATTEXT"/>
        <w:jc w:val="center"/>
      </w:pPr>
      <w:r>
        <w:t xml:space="preserve">(рекомендуемое)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 построения </w:t>
      </w:r>
      <w:proofErr w:type="spellStart"/>
      <w:r>
        <w:rPr>
          <w:b/>
          <w:bCs/>
          <w:color w:val="000001"/>
        </w:rPr>
        <w:t>градуировочной</w:t>
      </w:r>
      <w:proofErr w:type="spellEnd"/>
      <w:r>
        <w:rPr>
          <w:b/>
          <w:bCs/>
          <w:color w:val="000001"/>
        </w:rPr>
        <w:t xml:space="preserve"> характеристики </w:t>
      </w: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>А.1 Исходные данные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proofErr w:type="spellStart"/>
      <w:r>
        <w:t>Градуировочная</w:t>
      </w:r>
      <w:proofErr w:type="spellEnd"/>
      <w:r>
        <w:t> характерис</w:t>
      </w:r>
      <w:r>
        <w:t xml:space="preserve">тика хроматографа строится по стандартным образцам водных растворов этанола массовой концентрации </w:t>
      </w:r>
      <w:r w:rsidR="00DA091B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DA091B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=7). Границы относительной погрешности массовой концентрации этанола не превышают 0,5%.</w:t>
      </w:r>
      <w:r>
        <w:t xml:space="preserve"> Выполняют по 5 параллельных измерений в каждой точке (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=5). Данные для построения </w:t>
      </w:r>
      <w:proofErr w:type="spellStart"/>
      <w:r>
        <w:t>градуировочной</w:t>
      </w:r>
      <w:proofErr w:type="spellEnd"/>
      <w:r>
        <w:t xml:space="preserve"> характеристики приведены в таблице A.1.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jc w:val="both"/>
      </w:pPr>
      <w:r>
        <w:t>Таблица A.1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90"/>
        <w:gridCol w:w="1080"/>
        <w:gridCol w:w="30"/>
        <w:gridCol w:w="150"/>
        <w:gridCol w:w="1005"/>
        <w:gridCol w:w="15"/>
        <w:gridCol w:w="165"/>
        <w:gridCol w:w="1035"/>
        <w:gridCol w:w="1215"/>
        <w:gridCol w:w="1260"/>
        <w:gridCol w:w="1185"/>
        <w:gridCol w:w="15"/>
        <w:gridCol w:w="165"/>
        <w:gridCol w:w="10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Обозначе</w:t>
            </w:r>
            <w:proofErr w:type="spellEnd"/>
            <w:r>
              <w:rPr>
                <w:sz w:val="18"/>
                <w:szCs w:val="18"/>
              </w:rPr>
              <w:t xml:space="preserve">- </w:t>
            </w:r>
            <w:proofErr w:type="spellStart"/>
            <w:r>
              <w:rPr>
                <w:sz w:val="18"/>
                <w:szCs w:val="18"/>
              </w:rPr>
              <w:lastRenderedPageBreak/>
              <w:t>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пара- метра</w:t>
            </w:r>
          </w:p>
        </w:tc>
        <w:tc>
          <w:tcPr>
            <w:tcW w:w="8355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Значения массовой концентрации (</w:t>
            </w:r>
            <w:r>
              <w:rPr>
                <w:sz w:val="18"/>
                <w:szCs w:val="18"/>
              </w:rPr>
              <w:t>входная величина)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091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60655" cy="226695"/>
                  <wp:effectExtent l="0" t="0" r="0" b="1905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2502">
              <w:rPr>
                <w:sz w:val="18"/>
                <w:szCs w:val="18"/>
              </w:rPr>
              <w:t>, мг/мл</w:t>
            </w: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</w:t>
            </w:r>
          </w:p>
        </w:tc>
        <w:tc>
          <w:tcPr>
            <w:tcW w:w="11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измерения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091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7485" cy="241300"/>
                  <wp:effectExtent l="0" t="0" r="0" b="635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227451</w:t>
            </w:r>
          </w:p>
        </w:tc>
        <w:tc>
          <w:tcPr>
            <w:tcW w:w="1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439935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942200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1404433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1821194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2277460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2824679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221585</w:t>
            </w:r>
          </w:p>
        </w:tc>
        <w:tc>
          <w:tcPr>
            <w:tcW w:w="1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454170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935664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1391932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1825116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2240900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2825947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232387</w:t>
            </w:r>
          </w:p>
        </w:tc>
        <w:tc>
          <w:tcPr>
            <w:tcW w:w="1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444558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929875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1409124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1874371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2275484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2834183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223216</w:t>
            </w:r>
          </w:p>
        </w:tc>
        <w:tc>
          <w:tcPr>
            <w:tcW w:w="1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453812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933705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1385680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1834334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2319111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2816202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233628</w:t>
            </w:r>
          </w:p>
        </w:tc>
        <w:tc>
          <w:tcPr>
            <w:tcW w:w="1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457800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937104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1375168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1802673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2180685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2853467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Средние значения выходного сигнала в </w:t>
            </w:r>
            <w:r w:rsidR="00DA091B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-й точке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091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2880" cy="255905"/>
                  <wp:effectExtent l="0" t="0" r="762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227653</w:t>
            </w:r>
          </w:p>
        </w:tc>
        <w:tc>
          <w:tcPr>
            <w:tcW w:w="1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450055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935710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1393267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1831538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2258728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2830896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4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СКО единичного измерения выходного сигнала в </w:t>
            </w:r>
            <w:r w:rsidR="00DA091B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-й точке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A091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5353,965</w:t>
            </w:r>
          </w:p>
        </w:tc>
        <w:tc>
          <w:tcPr>
            <w:tcW w:w="1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7477,712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4531,355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13811,61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26208,11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51687,29</w:t>
            </w:r>
          </w:p>
        </w:tc>
        <w:tc>
          <w:tcPr>
            <w:tcW w:w="1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E2502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14136,05</w:t>
            </w:r>
          </w:p>
        </w:tc>
      </w:tr>
    </w:tbl>
    <w:p w:rsidR="00000000" w:rsidRDefault="00BE2502">
      <w:pPr>
        <w:pStyle w:val="a3"/>
      </w:pP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 xml:space="preserve">А.2 Вычисление коэффициентов </w:t>
      </w:r>
      <w:proofErr w:type="spellStart"/>
      <w:r>
        <w:rPr>
          <w:b/>
          <w:bCs/>
        </w:rPr>
        <w:t>градуировочной</w:t>
      </w:r>
      <w:proofErr w:type="spellEnd"/>
      <w:r>
        <w:rPr>
          <w:b/>
          <w:bCs/>
        </w:rPr>
        <w:t xml:space="preserve"> характеристики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proofErr w:type="spellStart"/>
      <w:r>
        <w:t>Градуировочная</w:t>
      </w:r>
      <w:proofErr w:type="spellEnd"/>
      <w:r>
        <w:t> характеристика представлена в виде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38860" cy="255905"/>
            <wp:effectExtent l="0" t="0" r="889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;                                                   (А.1) </w:t>
      </w:r>
    </w:p>
    <w:p w:rsidR="00000000" w:rsidRDefault="00BE2502">
      <w:pPr>
        <w:pStyle w:val="FORMATTEXT"/>
        <w:jc w:val="right"/>
      </w:pPr>
      <w:r>
        <w:t>     </w:t>
      </w:r>
    </w:p>
    <w:p w:rsidR="00000000" w:rsidRDefault="00DA091B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134110" cy="431800"/>
            <wp:effectExtent l="0" t="0" r="8890" b="635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.                                                (А.2) </w:t>
      </w:r>
    </w:p>
    <w:p w:rsidR="00000000" w:rsidRDefault="00BE2502">
      <w:pPr>
        <w:pStyle w:val="FORMATTEXT"/>
        <w:ind w:firstLine="568"/>
        <w:jc w:val="both"/>
      </w:pPr>
      <w:r>
        <w:t>Оценки </w:t>
      </w:r>
      <w:proofErr w:type="spellStart"/>
      <w:r>
        <w:t>градуировочных</w:t>
      </w:r>
      <w:proofErr w:type="spellEnd"/>
      <w:r>
        <w:t xml:space="preserve"> коэффициентов вычисляют по формулам: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1440815" cy="621665"/>
            <wp:effectExtent l="0" t="0" r="6985" b="698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                     (А.3) </w:t>
      </w:r>
    </w:p>
    <w:p w:rsidR="00000000" w:rsidRDefault="00BE2502">
      <w:pPr>
        <w:pStyle w:val="FORMATTEXT"/>
        <w:jc w:val="right"/>
      </w:pPr>
      <w:r>
        <w:t>     </w:t>
      </w:r>
    </w:p>
    <w:p w:rsidR="00000000" w:rsidRDefault="00DA091B">
      <w:pPr>
        <w:pStyle w:val="FORMATTEXT"/>
        <w:jc w:val="right"/>
      </w:pPr>
      <w:r>
        <w:rPr>
          <w:noProof/>
          <w:position w:val="-35"/>
        </w:rPr>
        <w:drawing>
          <wp:inline distT="0" distB="0" distL="0" distR="0">
            <wp:extent cx="1828800" cy="86296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          (А.4) </w:t>
      </w:r>
    </w:p>
    <w:p w:rsidR="00000000" w:rsidRDefault="00BE2502">
      <w:pPr>
        <w:pStyle w:val="FORMATTEXT"/>
        <w:jc w:val="right"/>
      </w:pPr>
      <w:r>
        <w:t>     </w:t>
      </w:r>
    </w:p>
    <w:p w:rsidR="00000000" w:rsidRDefault="00DA091B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797560" cy="431800"/>
            <wp:effectExtent l="0" t="0" r="2540" b="635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.                                                  </w:t>
      </w:r>
      <w:r w:rsidR="00BE2502">
        <w:t xml:space="preserve">             (А.5) </w:t>
      </w:r>
    </w:p>
    <w:p w:rsidR="00000000" w:rsidRDefault="00BE2502">
      <w:pPr>
        <w:pStyle w:val="FORMATTEXT"/>
        <w:jc w:val="both"/>
      </w:pPr>
      <w:r>
        <w:t xml:space="preserve">            </w:t>
      </w:r>
    </w:p>
    <w:p w:rsidR="00000000" w:rsidRDefault="00BE2502">
      <w:pPr>
        <w:pStyle w:val="FORMATTEXT"/>
        <w:ind w:firstLine="568"/>
        <w:jc w:val="both"/>
      </w:pPr>
      <w:r>
        <w:rPr>
          <w:b/>
          <w:bCs/>
        </w:rPr>
        <w:t xml:space="preserve">А.3 Оценивание погрешности (неопределенности) построения </w:t>
      </w:r>
      <w:proofErr w:type="spellStart"/>
      <w:r>
        <w:rPr>
          <w:b/>
          <w:bCs/>
        </w:rPr>
        <w:t>градуировочной</w:t>
      </w:r>
      <w:proofErr w:type="spellEnd"/>
      <w:r>
        <w:rPr>
          <w:b/>
          <w:bCs/>
        </w:rPr>
        <w:t xml:space="preserve"> зависимости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Оценку СКО (стандартную неопределенность по типу А) выходного сигнала в предположении </w:t>
      </w:r>
      <w:proofErr w:type="spellStart"/>
      <w:r>
        <w:t>равноточности</w:t>
      </w:r>
      <w:proofErr w:type="spellEnd"/>
      <w:r>
        <w:t xml:space="preserve"> измерений получают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9"/>
        </w:rPr>
        <w:lastRenderedPageBreak/>
        <w:drawing>
          <wp:inline distT="0" distB="0" distL="0" distR="0">
            <wp:extent cx="2962910" cy="467995"/>
            <wp:effectExtent l="0" t="0" r="8890" b="8255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(А.6) </w:t>
      </w:r>
    </w:p>
    <w:p w:rsidR="00000000" w:rsidRDefault="00BE2502">
      <w:pPr>
        <w:pStyle w:val="FORMATTEXT"/>
      </w:pPr>
      <w:r>
        <w:t>     </w:t>
      </w:r>
    </w:p>
    <w:p w:rsidR="00000000" w:rsidRDefault="00BE2502">
      <w:pPr>
        <w:pStyle w:val="FORMATTEXT"/>
      </w:pPr>
      <w:proofErr w:type="gramStart"/>
      <w:r>
        <w:t xml:space="preserve">где </w:t>
      </w:r>
      <w:r w:rsidR="00DA091B">
        <w:rPr>
          <w:noProof/>
          <w:position w:val="-17"/>
        </w:rPr>
        <w:drawing>
          <wp:inline distT="0" distB="0" distL="0" distR="0">
            <wp:extent cx="650875" cy="417195"/>
            <wp:effectExtent l="0" t="0" r="0" b="1905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DA091B">
        <w:rPr>
          <w:noProof/>
          <w:position w:val="-20"/>
        </w:rPr>
        <w:drawing>
          <wp:inline distT="0" distB="0" distL="0" distR="0">
            <wp:extent cx="1192530" cy="497205"/>
            <wp:effectExtent l="0" t="0" r="762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BE2502">
      <w:pPr>
        <w:pStyle w:val="FORMATTEXT"/>
        <w:ind w:firstLine="568"/>
        <w:jc w:val="both"/>
      </w:pPr>
      <w:r>
        <w:t xml:space="preserve">Оценку СКО систематической погрешности (стандартной неопределенности по типу В) </w:t>
      </w:r>
      <w:proofErr w:type="spellStart"/>
      <w:r>
        <w:t>градуировочной</w:t>
      </w:r>
      <w:proofErr w:type="spellEnd"/>
      <w:r>
        <w:t xml:space="preserve"> смеси, которое в </w:t>
      </w:r>
      <w:r>
        <w:t xml:space="preserve">данном случае зависит от значения </w:t>
      </w:r>
      <w:proofErr w:type="spellStart"/>
      <w:r>
        <w:t>градуировочной</w:t>
      </w:r>
      <w:proofErr w:type="spellEnd"/>
      <w:r>
        <w:t xml:space="preserve"> смеси, вычисляют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2845435" cy="431800"/>
            <wp:effectExtent l="0" t="0" r="0" b="635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                     (А.7)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r>
        <w:t xml:space="preserve">где </w:t>
      </w:r>
      <w:r w:rsidR="00DA091B">
        <w:rPr>
          <w:noProof/>
          <w:position w:val="-8"/>
        </w:rPr>
        <w:drawing>
          <wp:inline distT="0" distB="0" distL="0" distR="0">
            <wp:extent cx="116840" cy="182880"/>
            <wp:effectExtent l="0" t="0" r="0" b="762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(</w:t>
      </w:r>
      <w:r w:rsidR="00DA091B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)=</w:t>
      </w:r>
      <w:proofErr w:type="gramEnd"/>
      <w:r>
        <w:t>0,5% - границы относительной погр</w:t>
      </w:r>
      <w:r>
        <w:t xml:space="preserve">ешности массовой концентрации этанола. </w:t>
      </w:r>
    </w:p>
    <w:p w:rsidR="00000000" w:rsidRDefault="00BE2502">
      <w:pPr>
        <w:pStyle w:val="FORMATTEXT"/>
        <w:ind w:firstLine="568"/>
        <w:jc w:val="both"/>
      </w:pPr>
      <w:r>
        <w:t xml:space="preserve">Оценку СКО суммарной погрешности (суммарной стандартной неопределенности) построения </w:t>
      </w:r>
      <w:proofErr w:type="spellStart"/>
      <w:r>
        <w:t>градуировочной</w:t>
      </w:r>
      <w:proofErr w:type="spellEnd"/>
      <w:r>
        <w:t xml:space="preserve"> характеристики вычисляют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TOPLEVELTEXT"/>
        <w:jc w:val="center"/>
      </w:pPr>
      <w:r>
        <w:rPr>
          <w:noProof/>
          <w:position w:val="-42"/>
        </w:rPr>
        <w:drawing>
          <wp:inline distT="0" distB="0" distL="0" distR="0">
            <wp:extent cx="5266690" cy="106807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E2502">
      <w:pPr>
        <w:pStyle w:val="FORMATTEXT"/>
        <w:jc w:val="right"/>
      </w:pPr>
      <w:r>
        <w:t xml:space="preserve">(А.8) </w:t>
      </w:r>
    </w:p>
    <w:p w:rsidR="00000000" w:rsidRDefault="00DA091B">
      <w:pPr>
        <w:pStyle w:val="FORMATTEXT"/>
        <w:jc w:val="center"/>
      </w:pPr>
      <w:r>
        <w:rPr>
          <w:noProof/>
          <w:position w:val="-43"/>
        </w:rPr>
        <w:drawing>
          <wp:inline distT="0" distB="0" distL="0" distR="0">
            <wp:extent cx="5398770" cy="106807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E2502">
      <w:pPr>
        <w:pStyle w:val="FORMATTEXT"/>
        <w:jc w:val="both"/>
      </w:pPr>
      <w:r>
        <w:t xml:space="preserve">            </w:t>
      </w:r>
    </w:p>
    <w:p w:rsidR="00000000" w:rsidRDefault="00DA091B">
      <w:pPr>
        <w:pStyle w:val="FORMATTEXT"/>
        <w:jc w:val="center"/>
      </w:pPr>
      <w:r>
        <w:rPr>
          <w:noProof/>
          <w:position w:val="-16"/>
        </w:rPr>
        <w:drawing>
          <wp:inline distT="0" distB="0" distL="0" distR="0">
            <wp:extent cx="1828800" cy="380365"/>
            <wp:effectExtent l="0" t="0" r="0" b="63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, </w:t>
      </w: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</w:p>
    <w:p w:rsidR="00000000" w:rsidRDefault="00BE2502">
      <w:pPr>
        <w:pStyle w:val="FORMATTEXT"/>
        <w:jc w:val="both"/>
      </w:pPr>
      <w:proofErr w:type="gramStart"/>
      <w:r>
        <w:t xml:space="preserve">где </w:t>
      </w:r>
      <w:r w:rsidR="00DA091B">
        <w:rPr>
          <w:noProof/>
          <w:position w:val="-12"/>
        </w:rPr>
        <w:drawing>
          <wp:inline distT="0" distB="0" distL="0" distR="0">
            <wp:extent cx="1177925" cy="292735"/>
            <wp:effectExtent l="0" t="0" r="317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1448435" cy="263525"/>
            <wp:effectExtent l="0" t="0" r="0" b="3175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;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ind w:firstLine="568"/>
        <w:jc w:val="both"/>
      </w:pPr>
      <w:r>
        <w:rPr>
          <w:noProof/>
          <w:position w:val="-13"/>
        </w:rPr>
        <w:drawing>
          <wp:inline distT="0" distB="0" distL="0" distR="0">
            <wp:extent cx="1974850" cy="307340"/>
            <wp:effectExtent l="0" t="0" r="635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>.</w:t>
      </w:r>
    </w:p>
    <w:p w:rsidR="00000000" w:rsidRDefault="00BE2502">
      <w:pPr>
        <w:pStyle w:val="FORMATTEXT"/>
        <w:ind w:firstLine="568"/>
        <w:jc w:val="both"/>
      </w:pPr>
    </w:p>
    <w:p w:rsidR="00000000" w:rsidRDefault="00BE2502">
      <w:pPr>
        <w:pStyle w:val="FORMATTEXT"/>
        <w:ind w:firstLine="568"/>
        <w:jc w:val="both"/>
      </w:pPr>
      <w:r>
        <w:t xml:space="preserve">Доверительные границы погрешности (расширенную неопределенность) построения </w:t>
      </w:r>
      <w:proofErr w:type="spellStart"/>
      <w:r>
        <w:t>градуировочной</w:t>
      </w:r>
      <w:proofErr w:type="spellEnd"/>
      <w:r>
        <w:t xml:space="preserve"> характеристики вычисляют по формуле</w:t>
      </w:r>
    </w:p>
    <w:p w:rsidR="00000000" w:rsidRDefault="00BE2502">
      <w:pPr>
        <w:pStyle w:val="FORMATTEXT"/>
        <w:ind w:firstLine="568"/>
        <w:jc w:val="both"/>
      </w:pPr>
    </w:p>
    <w:p w:rsidR="00000000" w:rsidRDefault="00DA091B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487295" cy="343535"/>
            <wp:effectExtent l="0" t="0" r="825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2502">
        <w:t xml:space="preserve">.                      (А.9) </w:t>
      </w:r>
    </w:p>
    <w:p w:rsidR="00000000" w:rsidRDefault="00BE2502">
      <w:pPr>
        <w:pStyle w:val="FORMATTEXT"/>
        <w:jc w:val="center"/>
      </w:pPr>
      <w:r>
        <w:t>ПРИЛОЖЕНИЕ Б</w:t>
      </w:r>
    </w:p>
    <w:p w:rsidR="00000000" w:rsidRDefault="00BE2502">
      <w:pPr>
        <w:pStyle w:val="FORMATTEXT"/>
        <w:jc w:val="center"/>
      </w:pPr>
      <w:r>
        <w:t>(справочное)</w:t>
      </w:r>
      <w:r>
        <w:t xml:space="preserve"> </w:t>
      </w:r>
    </w:p>
    <w:p w:rsidR="00000000" w:rsidRDefault="00BE2502">
      <w:pPr>
        <w:pStyle w:val="HEADERTEXT"/>
        <w:rPr>
          <w:b/>
          <w:bCs/>
          <w:color w:val="000001"/>
        </w:rPr>
      </w:pP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BE2502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Библиография </w:t>
      </w:r>
    </w:p>
    <w:p w:rsidR="00000000" w:rsidRDefault="00BE2502">
      <w:pPr>
        <w:pStyle w:val="FORMATTEXT"/>
        <w:ind w:firstLine="568"/>
        <w:jc w:val="both"/>
      </w:pPr>
      <w:r>
        <w:t xml:space="preserve">[1] МИ 2175-91 Государственная система обеспечения единства измерений. </w:t>
      </w:r>
      <w:proofErr w:type="spellStart"/>
      <w:r>
        <w:t>Градуировочные</w:t>
      </w:r>
      <w:proofErr w:type="spellEnd"/>
      <w:r>
        <w:t xml:space="preserve"> характеристики средств измерений. Методы построения, оценивание погрешностей</w:t>
      </w:r>
    </w:p>
    <w:p w:rsidR="00000000" w:rsidRDefault="00BE2502">
      <w:pPr>
        <w:pStyle w:val="FORMATTEXT"/>
        <w:ind w:firstLine="568"/>
        <w:jc w:val="both"/>
      </w:pPr>
    </w:p>
    <w:p w:rsidR="00BE2502" w:rsidRDefault="00BE2502" w:rsidP="00206069">
      <w:pPr>
        <w:pStyle w:val="FORMATTEXT"/>
        <w:ind w:firstLine="568"/>
        <w:jc w:val="both"/>
      </w:pPr>
      <w:r>
        <w:t>[2] РМГ 43-2001 Государственная система обеспечения единства измерен</w:t>
      </w:r>
      <w:r>
        <w:t xml:space="preserve">ий. Применение </w:t>
      </w:r>
      <w:r>
        <w:lastRenderedPageBreak/>
        <w:t>"Руководства по выраже</w:t>
      </w:r>
      <w:r w:rsidR="00206069">
        <w:t>нию неопределенности измерений"</w:t>
      </w:r>
      <w:hyperlink r:id="rId86" w:history="1">
        <w:r w:rsidR="00206069" w:rsidRPr="00206069">
          <w:rPr>
            <w:rStyle w:val="a4"/>
            <w:sz w:val="2"/>
            <w:szCs w:val="2"/>
            <w:u w:val="none"/>
          </w:rPr>
          <w:t>.</w:t>
        </w:r>
      </w:hyperlink>
      <w:r>
        <w:t xml:space="preserve"> </w:t>
      </w:r>
    </w:p>
    <w:sectPr w:rsidR="00BE2502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1B"/>
    <w:rsid w:val="00206069"/>
    <w:rsid w:val="00BE2502"/>
    <w:rsid w:val="00DA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0F9F73-D3D5-429B-BA2B-D92DB9529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2060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image" Target="media/image34.gif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42" Type="http://schemas.openxmlformats.org/officeDocument/2006/relationships/image" Target="media/image37.gif"/><Relationship Id="rId47" Type="http://schemas.openxmlformats.org/officeDocument/2006/relationships/image" Target="media/image42.gif"/><Relationship Id="rId50" Type="http://schemas.openxmlformats.org/officeDocument/2006/relationships/image" Target="media/image45.gif"/><Relationship Id="rId55" Type="http://schemas.openxmlformats.org/officeDocument/2006/relationships/image" Target="media/image50.gif"/><Relationship Id="rId63" Type="http://schemas.openxmlformats.org/officeDocument/2006/relationships/image" Target="media/image58.gif"/><Relationship Id="rId68" Type="http://schemas.openxmlformats.org/officeDocument/2006/relationships/image" Target="media/image63.gif"/><Relationship Id="rId76" Type="http://schemas.openxmlformats.org/officeDocument/2006/relationships/image" Target="media/image71.gif"/><Relationship Id="rId84" Type="http://schemas.openxmlformats.org/officeDocument/2006/relationships/image" Target="media/image79.gif"/><Relationship Id="rId7" Type="http://schemas.openxmlformats.org/officeDocument/2006/relationships/image" Target="media/image2.gif"/><Relationship Id="rId71" Type="http://schemas.openxmlformats.org/officeDocument/2006/relationships/image" Target="media/image66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9" Type="http://schemas.openxmlformats.org/officeDocument/2006/relationships/image" Target="media/image24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image" Target="media/image32.gif"/><Relationship Id="rId40" Type="http://schemas.openxmlformats.org/officeDocument/2006/relationships/image" Target="media/image35.gif"/><Relationship Id="rId45" Type="http://schemas.openxmlformats.org/officeDocument/2006/relationships/image" Target="media/image40.gif"/><Relationship Id="rId53" Type="http://schemas.openxmlformats.org/officeDocument/2006/relationships/image" Target="media/image48.gif"/><Relationship Id="rId58" Type="http://schemas.openxmlformats.org/officeDocument/2006/relationships/image" Target="media/image53.gif"/><Relationship Id="rId66" Type="http://schemas.openxmlformats.org/officeDocument/2006/relationships/image" Target="media/image61.gif"/><Relationship Id="rId74" Type="http://schemas.openxmlformats.org/officeDocument/2006/relationships/image" Target="media/image69.gif"/><Relationship Id="rId79" Type="http://schemas.openxmlformats.org/officeDocument/2006/relationships/image" Target="media/image74.gif"/><Relationship Id="rId87" Type="http://schemas.openxmlformats.org/officeDocument/2006/relationships/fontTable" Target="fontTable.xml"/><Relationship Id="rId5" Type="http://schemas.openxmlformats.org/officeDocument/2006/relationships/hyperlink" Target="https://rosakkreditatsiya-forum.ru/" TargetMode="External"/><Relationship Id="rId61" Type="http://schemas.openxmlformats.org/officeDocument/2006/relationships/image" Target="media/image56.gif"/><Relationship Id="rId82" Type="http://schemas.openxmlformats.org/officeDocument/2006/relationships/image" Target="media/image77.gif"/><Relationship Id="rId19" Type="http://schemas.openxmlformats.org/officeDocument/2006/relationships/image" Target="media/image14.gif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gif"/><Relationship Id="rId43" Type="http://schemas.openxmlformats.org/officeDocument/2006/relationships/image" Target="media/image38.gif"/><Relationship Id="rId48" Type="http://schemas.openxmlformats.org/officeDocument/2006/relationships/image" Target="media/image43.gif"/><Relationship Id="rId56" Type="http://schemas.openxmlformats.org/officeDocument/2006/relationships/image" Target="media/image51.gif"/><Relationship Id="rId64" Type="http://schemas.openxmlformats.org/officeDocument/2006/relationships/image" Target="media/image59.gif"/><Relationship Id="rId69" Type="http://schemas.openxmlformats.org/officeDocument/2006/relationships/image" Target="media/image64.gif"/><Relationship Id="rId77" Type="http://schemas.openxmlformats.org/officeDocument/2006/relationships/image" Target="media/image72.gif"/><Relationship Id="rId8" Type="http://schemas.openxmlformats.org/officeDocument/2006/relationships/image" Target="media/image3.gif"/><Relationship Id="rId51" Type="http://schemas.openxmlformats.org/officeDocument/2006/relationships/image" Target="media/image46.gif"/><Relationship Id="rId72" Type="http://schemas.openxmlformats.org/officeDocument/2006/relationships/image" Target="media/image67.gif"/><Relationship Id="rId80" Type="http://schemas.openxmlformats.org/officeDocument/2006/relationships/image" Target="media/image75.gif"/><Relationship Id="rId85" Type="http://schemas.openxmlformats.org/officeDocument/2006/relationships/image" Target="media/image80.gif"/><Relationship Id="rId3" Type="http://schemas.openxmlformats.org/officeDocument/2006/relationships/settings" Target="settings.xml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38" Type="http://schemas.openxmlformats.org/officeDocument/2006/relationships/image" Target="media/image33.gif"/><Relationship Id="rId46" Type="http://schemas.openxmlformats.org/officeDocument/2006/relationships/image" Target="media/image41.gif"/><Relationship Id="rId59" Type="http://schemas.openxmlformats.org/officeDocument/2006/relationships/image" Target="media/image54.gif"/><Relationship Id="rId67" Type="http://schemas.openxmlformats.org/officeDocument/2006/relationships/image" Target="media/image62.gif"/><Relationship Id="rId20" Type="http://schemas.openxmlformats.org/officeDocument/2006/relationships/image" Target="media/image15.gif"/><Relationship Id="rId41" Type="http://schemas.openxmlformats.org/officeDocument/2006/relationships/image" Target="media/image36.gif"/><Relationship Id="rId54" Type="http://schemas.openxmlformats.org/officeDocument/2006/relationships/image" Target="media/image49.gif"/><Relationship Id="rId62" Type="http://schemas.openxmlformats.org/officeDocument/2006/relationships/image" Target="media/image57.gif"/><Relationship Id="rId70" Type="http://schemas.openxmlformats.org/officeDocument/2006/relationships/image" Target="media/image65.gif"/><Relationship Id="rId75" Type="http://schemas.openxmlformats.org/officeDocument/2006/relationships/image" Target="media/image70.gif"/><Relationship Id="rId83" Type="http://schemas.openxmlformats.org/officeDocument/2006/relationships/image" Target="media/image78.gif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49" Type="http://schemas.openxmlformats.org/officeDocument/2006/relationships/image" Target="media/image44.gif"/><Relationship Id="rId57" Type="http://schemas.openxmlformats.org/officeDocument/2006/relationships/image" Target="media/image52.gif"/><Relationship Id="rId10" Type="http://schemas.openxmlformats.org/officeDocument/2006/relationships/image" Target="media/image5.gif"/><Relationship Id="rId31" Type="http://schemas.openxmlformats.org/officeDocument/2006/relationships/image" Target="media/image26.gif"/><Relationship Id="rId44" Type="http://schemas.openxmlformats.org/officeDocument/2006/relationships/image" Target="media/image39.gif"/><Relationship Id="rId52" Type="http://schemas.openxmlformats.org/officeDocument/2006/relationships/image" Target="media/image47.gif"/><Relationship Id="rId60" Type="http://schemas.openxmlformats.org/officeDocument/2006/relationships/image" Target="media/image55.gif"/><Relationship Id="rId65" Type="http://schemas.openxmlformats.org/officeDocument/2006/relationships/image" Target="media/image60.gif"/><Relationship Id="rId73" Type="http://schemas.openxmlformats.org/officeDocument/2006/relationships/image" Target="media/image68.gif"/><Relationship Id="rId78" Type="http://schemas.openxmlformats.org/officeDocument/2006/relationships/image" Target="media/image73.gif"/><Relationship Id="rId81" Type="http://schemas.openxmlformats.org/officeDocument/2006/relationships/image" Target="media/image76.gif"/><Relationship Id="rId86" Type="http://schemas.openxmlformats.org/officeDocument/2006/relationships/hyperlink" Target="https://rosakkreditatsiya-foru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49490-ED46-4F85-BDF5-A7687F01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1941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50.2.028-2003 ГСИ. Алгоритмы построения градуировочных характеристик средств измерений состава веществ и материалов и оценивание их погрешностей (неопределенностей). Оценивание погрешности (неопределенности) линейных градуировочных характеристик при исп</vt:lpstr>
    </vt:vector>
  </TitlesOfParts>
  <Company>https://rosakkreditatsiya-forum.ru</Company>
  <LinksUpToDate>false</LinksUpToDate>
  <CharactersWithSpaces>12982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50.2.028-2003 ГСИ. Алгоритмы построения градуировочных характеристик средств измерений состава веществ и материалов и оценивание их погрешностей (неопределенностей). Оценивание погрешности (неопределенности) линейных градуировочных характеристик при исп</dc:title>
  <dc:subject>Построение градуировочного графика</dc:subject>
  <cp:keywords>Построение градуировочного графика</cp:keywords>
  <dc:description/>
  <cp:lastModifiedBy>Cristal</cp:lastModifiedBy>
  <dcterms:created xsi:type="dcterms:W3CDTF">2017-10-08T11:35:00Z</dcterms:created>
  <dcterms:modified xsi:type="dcterms:W3CDTF">2017-10-08T11:38:00Z</dcterms:modified>
</cp:coreProperties>
</file>