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29C2">
      <w:pPr>
        <w:pStyle w:val="FORMATTEXT"/>
        <w:jc w:val="right"/>
      </w:pPr>
      <w:r>
        <w:rPr>
          <w:sz w:val="24"/>
          <w:szCs w:val="24"/>
        </w:rPr>
        <w:t xml:space="preserve">  </w:t>
      </w:r>
      <w:r>
        <w:t>     </w:t>
      </w:r>
    </w:p>
    <w:p w:rsidR="00000000" w:rsidRDefault="005829C2">
      <w:pPr>
        <w:pStyle w:val="FORMATTEXT"/>
        <w:jc w:val="right"/>
      </w:pPr>
      <w:r>
        <w:t xml:space="preserve">ГОСТ ISO </w:t>
      </w:r>
      <w:proofErr w:type="spellStart"/>
      <w:r>
        <w:t>Guide</w:t>
      </w:r>
      <w:proofErr w:type="spellEnd"/>
      <w:r>
        <w:t xml:space="preserve"> 35-2015</w:t>
      </w:r>
    </w:p>
    <w:p w:rsidR="00000000" w:rsidRDefault="005829C2">
      <w:pPr>
        <w:pStyle w:val="FORMATTEXT"/>
        <w:jc w:val="right"/>
      </w:pPr>
    </w:p>
    <w:p w:rsidR="00000000" w:rsidRDefault="005829C2">
      <w:pPr>
        <w:pStyle w:val="FORMATTEXT"/>
        <w:jc w:val="right"/>
      </w:pPr>
      <w:r>
        <w:t xml:space="preserve">Группа Т62 </w:t>
      </w:r>
    </w:p>
    <w:p w:rsidR="00000000" w:rsidRDefault="005829C2">
      <w:pPr>
        <w:pStyle w:val="HEADERTEXT"/>
        <w:rPr>
          <w:b/>
          <w:bCs/>
          <w:color w:val="000001"/>
        </w:rPr>
      </w:pPr>
    </w:p>
    <w:p w:rsidR="00000000" w:rsidRDefault="005829C2">
      <w:pPr>
        <w:pStyle w:val="HEADERTEXT"/>
        <w:jc w:val="center"/>
        <w:rPr>
          <w:b/>
          <w:bCs/>
          <w:color w:val="000001"/>
        </w:rPr>
      </w:pPr>
      <w:r>
        <w:rPr>
          <w:b/>
          <w:bCs/>
          <w:color w:val="000001"/>
        </w:rPr>
        <w:t xml:space="preserve"> </w:t>
      </w:r>
    </w:p>
    <w:p w:rsidR="00000000" w:rsidRDefault="005829C2">
      <w:pPr>
        <w:pStyle w:val="HEADERTEXT"/>
        <w:jc w:val="center"/>
        <w:rPr>
          <w:b/>
          <w:bCs/>
          <w:color w:val="000001"/>
        </w:rPr>
      </w:pPr>
    </w:p>
    <w:p w:rsidR="00000000" w:rsidRDefault="005829C2">
      <w:pPr>
        <w:pStyle w:val="HEADERTEXT"/>
        <w:jc w:val="center"/>
        <w:rPr>
          <w:b/>
          <w:bCs/>
          <w:color w:val="000001"/>
        </w:rPr>
      </w:pPr>
      <w:r>
        <w:rPr>
          <w:b/>
          <w:bCs/>
          <w:color w:val="000001"/>
        </w:rPr>
        <w:t>МЕЖГОСУДАРСТВЕННЫЙ СТАНДАРТ</w:t>
      </w:r>
    </w:p>
    <w:p w:rsidR="00000000" w:rsidRDefault="005829C2">
      <w:pPr>
        <w:pStyle w:val="HEADERTEXT"/>
        <w:jc w:val="center"/>
        <w:rPr>
          <w:b/>
          <w:bCs/>
          <w:color w:val="000001"/>
        </w:rPr>
      </w:pPr>
    </w:p>
    <w:p w:rsidR="00000000" w:rsidRDefault="005829C2">
      <w:pPr>
        <w:pStyle w:val="HEADERTEXT"/>
        <w:rPr>
          <w:b/>
          <w:bCs/>
          <w:color w:val="000001"/>
        </w:rPr>
      </w:pPr>
    </w:p>
    <w:p w:rsidR="00000000" w:rsidRDefault="005829C2">
      <w:pPr>
        <w:pStyle w:val="HEADERTEXT"/>
        <w:jc w:val="center"/>
        <w:rPr>
          <w:b/>
          <w:bCs/>
          <w:color w:val="000001"/>
        </w:rPr>
      </w:pPr>
      <w:r>
        <w:rPr>
          <w:b/>
          <w:bCs/>
          <w:color w:val="000001"/>
        </w:rPr>
        <w:t xml:space="preserve"> Стандартные образцы</w:t>
      </w:r>
    </w:p>
    <w:p w:rsidR="00000000" w:rsidRDefault="005829C2">
      <w:pPr>
        <w:pStyle w:val="HEADERTEXT"/>
        <w:rPr>
          <w:b/>
          <w:bCs/>
          <w:color w:val="000001"/>
        </w:rPr>
      </w:pPr>
    </w:p>
    <w:p w:rsidR="00000000" w:rsidRDefault="005829C2">
      <w:pPr>
        <w:pStyle w:val="HEADERTEXT"/>
        <w:jc w:val="center"/>
        <w:rPr>
          <w:b/>
          <w:bCs/>
          <w:color w:val="000001"/>
        </w:rPr>
      </w:pPr>
      <w:r>
        <w:rPr>
          <w:b/>
          <w:bCs/>
          <w:color w:val="000001"/>
        </w:rPr>
        <w:t xml:space="preserve"> ОБЩИЕ И СТАТИСТИЧЕСКИЕ ПРИНЦИПЫ СЕРТИФИКАЦИИ (АТТЕСТА</w:t>
      </w:r>
      <w:r>
        <w:rPr>
          <w:b/>
          <w:bCs/>
          <w:color w:val="000001"/>
        </w:rPr>
        <w:t>ЦИИ)</w:t>
      </w:r>
    </w:p>
    <w:p w:rsidR="00000000" w:rsidRDefault="005829C2">
      <w:pPr>
        <w:pStyle w:val="HEADERTEXT"/>
        <w:rPr>
          <w:b/>
          <w:bCs/>
          <w:color w:val="000001"/>
        </w:rPr>
      </w:pPr>
    </w:p>
    <w:p w:rsidR="00000000" w:rsidRPr="002E1D3F" w:rsidRDefault="005829C2">
      <w:pPr>
        <w:pStyle w:val="HEADERTEXT"/>
        <w:jc w:val="center"/>
        <w:rPr>
          <w:b/>
          <w:bCs/>
          <w:color w:val="000001"/>
          <w:lang w:val="en-US"/>
        </w:rPr>
      </w:pPr>
      <w:r>
        <w:rPr>
          <w:b/>
          <w:bCs/>
          <w:color w:val="000001"/>
        </w:rPr>
        <w:t xml:space="preserve"> </w:t>
      </w:r>
      <w:r w:rsidRPr="002E1D3F">
        <w:rPr>
          <w:b/>
          <w:bCs/>
          <w:color w:val="000001"/>
          <w:lang w:val="en-US"/>
        </w:rPr>
        <w:t xml:space="preserve">Reference materials. General and statistical principles for certification </w:t>
      </w:r>
    </w:p>
    <w:p w:rsidR="00000000" w:rsidRDefault="005829C2">
      <w:pPr>
        <w:pStyle w:val="FORMATTEXT"/>
        <w:jc w:val="both"/>
      </w:pPr>
      <w:r>
        <w:t xml:space="preserve">МКС 17.020 </w:t>
      </w:r>
    </w:p>
    <w:p w:rsidR="00000000" w:rsidRDefault="005829C2">
      <w:pPr>
        <w:pStyle w:val="FORMATTEXT"/>
        <w:jc w:val="right"/>
      </w:pPr>
      <w:r>
        <w:t>Дата введения 2016-12-01</w:t>
      </w:r>
    </w:p>
    <w:p w:rsidR="00000000" w:rsidRDefault="005829C2">
      <w:pPr>
        <w:pStyle w:val="HEADERTEXT"/>
        <w:rPr>
          <w:b/>
          <w:bCs/>
          <w:color w:val="000001"/>
        </w:rPr>
      </w:pPr>
    </w:p>
    <w:p w:rsidR="00000000" w:rsidRDefault="005829C2">
      <w:pPr>
        <w:pStyle w:val="HEADERTEXT"/>
        <w:jc w:val="center"/>
        <w:rPr>
          <w:b/>
          <w:bCs/>
          <w:color w:val="000001"/>
        </w:rPr>
      </w:pPr>
      <w:r>
        <w:rPr>
          <w:b/>
          <w:bCs/>
          <w:color w:val="000001"/>
        </w:rPr>
        <w:t xml:space="preserve">      </w:t>
      </w:r>
    </w:p>
    <w:p w:rsidR="00000000" w:rsidRDefault="005829C2">
      <w:pPr>
        <w:pStyle w:val="HEADERTEXT"/>
        <w:jc w:val="center"/>
        <w:rPr>
          <w:b/>
          <w:bCs/>
          <w:color w:val="000001"/>
        </w:rPr>
      </w:pPr>
      <w:r>
        <w:rPr>
          <w:b/>
          <w:bCs/>
          <w:color w:val="000001"/>
        </w:rPr>
        <w:t xml:space="preserve">Предисловие </w:t>
      </w:r>
    </w:p>
    <w:p w:rsidR="00000000" w:rsidRDefault="005829C2">
      <w:pPr>
        <w:pStyle w:val="FORMATTEXT"/>
        <w:ind w:firstLine="568"/>
        <w:jc w:val="both"/>
      </w:pPr>
      <w:r>
        <w:t xml:space="preserve">Цели, основные принципы и основной порядок проведения работ по межгосударственной стандартизации установлены в ГОСТ </w:t>
      </w:r>
      <w:r>
        <w:t>1.0-92 "Межгосударственная система стандартизации. Основные положения" и ГОСТ 1.2-2009 "Межгосударственная система стандартизации. Стандарты межгосударственные, правила, рекомендации по межгосударственной стандартизации. Правила разработки, принятия, приме</w:t>
      </w:r>
      <w:r>
        <w:t>нения, обновления и отмены"</w:t>
      </w:r>
    </w:p>
    <w:p w:rsidR="00000000" w:rsidRDefault="005829C2">
      <w:pPr>
        <w:pStyle w:val="FORMATTEXT"/>
        <w:ind w:firstLine="568"/>
        <w:jc w:val="both"/>
      </w:pPr>
    </w:p>
    <w:p w:rsidR="00000000" w:rsidRDefault="005829C2">
      <w:pPr>
        <w:pStyle w:val="FORMATTEXT"/>
        <w:ind w:firstLine="568"/>
        <w:jc w:val="both"/>
      </w:pPr>
      <w:r>
        <w:rPr>
          <w:b/>
          <w:bCs/>
        </w:rPr>
        <w:t>Сведения о</w:t>
      </w:r>
      <w:r>
        <w:t xml:space="preserve"> </w:t>
      </w:r>
      <w:r>
        <w:rPr>
          <w:b/>
          <w:bCs/>
        </w:rPr>
        <w:t>стандарте</w:t>
      </w:r>
    </w:p>
    <w:p w:rsidR="00000000" w:rsidRDefault="005829C2">
      <w:pPr>
        <w:pStyle w:val="FORMATTEXT"/>
        <w:ind w:firstLine="568"/>
        <w:jc w:val="both"/>
      </w:pPr>
    </w:p>
    <w:p w:rsidR="00000000" w:rsidRDefault="005829C2">
      <w:pPr>
        <w:pStyle w:val="FORMATTEXT"/>
        <w:ind w:firstLine="568"/>
        <w:jc w:val="both"/>
      </w:pPr>
      <w:r>
        <w:t>1 ПОДГОТОВЛЕН Федеральным государственным унитарным предприятием "Уральский научно-исследовательский институт метрологии" (ФГУП "УНИИМ") Федерального агентства по техническому регулированию и метрологии на</w:t>
      </w:r>
      <w:r>
        <w:t xml:space="preserve"> основе собственного перевода на русский язык англоязычной версии документа, указанного в пункте 4</w:t>
      </w:r>
    </w:p>
    <w:p w:rsidR="00000000" w:rsidRDefault="005829C2">
      <w:pPr>
        <w:pStyle w:val="FORMATTEXT"/>
        <w:ind w:firstLine="568"/>
        <w:jc w:val="both"/>
      </w:pPr>
    </w:p>
    <w:p w:rsidR="00000000" w:rsidRDefault="005829C2">
      <w:pPr>
        <w:pStyle w:val="FORMATTEXT"/>
        <w:ind w:firstLine="568"/>
        <w:jc w:val="both"/>
      </w:pPr>
      <w:r>
        <w:t>2 ВНЕСЕН Федеральным агентством по техническому регулированию и метрологии (</w:t>
      </w:r>
      <w:proofErr w:type="spellStart"/>
      <w:r>
        <w:t>Росстандарт</w:t>
      </w:r>
      <w:proofErr w:type="spellEnd"/>
      <w:r>
        <w:t>)</w:t>
      </w:r>
    </w:p>
    <w:p w:rsidR="00000000" w:rsidRDefault="005829C2">
      <w:pPr>
        <w:pStyle w:val="FORMATTEXT"/>
        <w:ind w:firstLine="568"/>
        <w:jc w:val="both"/>
      </w:pPr>
    </w:p>
    <w:p w:rsidR="00000000" w:rsidRDefault="005829C2">
      <w:pPr>
        <w:pStyle w:val="FORMATTEXT"/>
        <w:ind w:firstLine="568"/>
        <w:jc w:val="both"/>
      </w:pPr>
      <w:r>
        <w:t xml:space="preserve">3 ПРИНЯТ Межгосударственным советом по стандартизации, метрологии </w:t>
      </w:r>
      <w:r>
        <w:t>и сертификации (протокол от 12 ноября 2015 г. N 82-П)</w:t>
      </w:r>
    </w:p>
    <w:p w:rsidR="00000000" w:rsidRDefault="005829C2">
      <w:pPr>
        <w:pStyle w:val="FORMATTEXT"/>
        <w:ind w:firstLine="568"/>
        <w:jc w:val="both"/>
      </w:pPr>
    </w:p>
    <w:p w:rsidR="00000000" w:rsidRDefault="005829C2">
      <w:pPr>
        <w:pStyle w:val="FORMATTEXT"/>
        <w:ind w:firstLine="568"/>
        <w:jc w:val="both"/>
      </w:pPr>
      <w:r>
        <w:t>За принятие проголосовали:</w:t>
      </w:r>
    </w:p>
    <w:p w:rsidR="00000000" w:rsidRDefault="005829C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2940"/>
        <w:gridCol w:w="2235"/>
        <w:gridCol w:w="4290"/>
      </w:tblGrid>
      <w:tr w:rsidR="00000000">
        <w:tblPrEx>
          <w:tblCellMar>
            <w:top w:w="0" w:type="dxa"/>
            <w:bottom w:w="0" w:type="dxa"/>
          </w:tblCellMar>
        </w:tblPrEx>
        <w:tc>
          <w:tcPr>
            <w:tcW w:w="2940"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223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4290"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29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Краткое наименование страны по МК (ИСО 3166) 004-97</w:t>
            </w:r>
          </w:p>
        </w:tc>
        <w:tc>
          <w:tcPr>
            <w:tcW w:w="223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FORMATTEXT"/>
              <w:jc w:val="center"/>
              <w:rPr>
                <w:sz w:val="18"/>
                <w:szCs w:val="18"/>
              </w:rPr>
            </w:pPr>
            <w:r>
              <w:rPr>
                <w:sz w:val="18"/>
                <w:szCs w:val="18"/>
              </w:rPr>
              <w:t xml:space="preserve">Код страны по </w:t>
            </w:r>
          </w:p>
          <w:p w:rsidR="00000000" w:rsidRDefault="005829C2">
            <w:pPr>
              <w:pStyle w:val="a3"/>
              <w:jc w:val="center"/>
              <w:rPr>
                <w:sz w:val="18"/>
                <w:szCs w:val="18"/>
              </w:rPr>
            </w:pPr>
            <w:r>
              <w:rPr>
                <w:sz w:val="18"/>
                <w:szCs w:val="18"/>
              </w:rPr>
              <w:t xml:space="preserve">МК (ИСО 3166) 004-97 </w:t>
            </w:r>
          </w:p>
        </w:tc>
        <w:tc>
          <w:tcPr>
            <w:tcW w:w="429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Сокращенное наименование национального органа по стандартизации </w:t>
            </w:r>
          </w:p>
        </w:tc>
      </w:tr>
      <w:tr w:rsidR="00000000">
        <w:tblPrEx>
          <w:tblCellMar>
            <w:top w:w="0" w:type="dxa"/>
            <w:bottom w:w="0" w:type="dxa"/>
          </w:tblCellMar>
        </w:tblPrEx>
        <w:tc>
          <w:tcPr>
            <w:tcW w:w="29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rPr>
                <w:sz w:val="18"/>
                <w:szCs w:val="18"/>
              </w:rPr>
            </w:pPr>
            <w:r>
              <w:rPr>
                <w:sz w:val="18"/>
                <w:szCs w:val="18"/>
              </w:rPr>
              <w:t xml:space="preserve">Армения </w:t>
            </w:r>
          </w:p>
        </w:tc>
        <w:tc>
          <w:tcPr>
            <w:tcW w:w="223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AM</w:t>
            </w:r>
          </w:p>
        </w:tc>
        <w:tc>
          <w:tcPr>
            <w:tcW w:w="429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rPr>
                <w:sz w:val="18"/>
                <w:szCs w:val="18"/>
              </w:rPr>
            </w:pPr>
            <w:r>
              <w:rPr>
                <w:sz w:val="18"/>
                <w:szCs w:val="18"/>
              </w:rPr>
              <w:t>Ми</w:t>
            </w:r>
            <w:r>
              <w:rPr>
                <w:sz w:val="18"/>
                <w:szCs w:val="18"/>
              </w:rPr>
              <w:t xml:space="preserve">нэкономики Республики Армения </w:t>
            </w:r>
          </w:p>
        </w:tc>
      </w:tr>
      <w:tr w:rsidR="00000000">
        <w:tblPrEx>
          <w:tblCellMar>
            <w:top w:w="0" w:type="dxa"/>
            <w:bottom w:w="0" w:type="dxa"/>
          </w:tblCellMar>
        </w:tblPrEx>
        <w:tc>
          <w:tcPr>
            <w:tcW w:w="294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rPr>
                <w:sz w:val="18"/>
                <w:szCs w:val="18"/>
              </w:rPr>
            </w:pPr>
            <w:r>
              <w:rPr>
                <w:sz w:val="18"/>
                <w:szCs w:val="18"/>
              </w:rPr>
              <w:t xml:space="preserve">Беларусь </w:t>
            </w:r>
          </w:p>
        </w:tc>
        <w:tc>
          <w:tcPr>
            <w:tcW w:w="223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BY</w:t>
            </w:r>
          </w:p>
        </w:tc>
        <w:tc>
          <w:tcPr>
            <w:tcW w:w="429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829C2">
            <w:pPr>
              <w:pStyle w:val="a3"/>
              <w:rPr>
                <w:sz w:val="18"/>
                <w:szCs w:val="18"/>
              </w:rPr>
            </w:pPr>
            <w:r>
              <w:rPr>
                <w:sz w:val="18"/>
                <w:szCs w:val="18"/>
              </w:rPr>
              <w:t xml:space="preserve">Госстандарт Республики Беларусь </w:t>
            </w:r>
          </w:p>
        </w:tc>
      </w:tr>
      <w:tr w:rsidR="00000000">
        <w:tblPrEx>
          <w:tblCellMar>
            <w:top w:w="0" w:type="dxa"/>
            <w:bottom w:w="0" w:type="dxa"/>
          </w:tblCellMar>
        </w:tblPrEx>
        <w:tc>
          <w:tcPr>
            <w:tcW w:w="294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rPr>
                <w:sz w:val="18"/>
                <w:szCs w:val="18"/>
              </w:rPr>
            </w:pPr>
            <w:r>
              <w:rPr>
                <w:sz w:val="18"/>
                <w:szCs w:val="18"/>
              </w:rPr>
              <w:t xml:space="preserve">Казахстан </w:t>
            </w:r>
          </w:p>
        </w:tc>
        <w:tc>
          <w:tcPr>
            <w:tcW w:w="223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KZ</w:t>
            </w:r>
          </w:p>
        </w:tc>
        <w:tc>
          <w:tcPr>
            <w:tcW w:w="429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829C2">
            <w:pPr>
              <w:pStyle w:val="a3"/>
              <w:rPr>
                <w:sz w:val="18"/>
                <w:szCs w:val="18"/>
              </w:rPr>
            </w:pPr>
            <w:r>
              <w:rPr>
                <w:sz w:val="18"/>
                <w:szCs w:val="18"/>
              </w:rPr>
              <w:t xml:space="preserve">Госстандарт Республики Казахстан </w:t>
            </w:r>
          </w:p>
        </w:tc>
      </w:tr>
      <w:tr w:rsidR="00000000">
        <w:tblPrEx>
          <w:tblCellMar>
            <w:top w:w="0" w:type="dxa"/>
            <w:bottom w:w="0" w:type="dxa"/>
          </w:tblCellMar>
        </w:tblPrEx>
        <w:tc>
          <w:tcPr>
            <w:tcW w:w="294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rPr>
                <w:sz w:val="18"/>
                <w:szCs w:val="18"/>
              </w:rPr>
            </w:pPr>
            <w:r>
              <w:rPr>
                <w:sz w:val="18"/>
                <w:szCs w:val="18"/>
              </w:rPr>
              <w:t xml:space="preserve">Киргизия </w:t>
            </w:r>
          </w:p>
        </w:tc>
        <w:tc>
          <w:tcPr>
            <w:tcW w:w="223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KG</w:t>
            </w:r>
          </w:p>
        </w:tc>
        <w:tc>
          <w:tcPr>
            <w:tcW w:w="429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829C2">
            <w:pPr>
              <w:pStyle w:val="a3"/>
              <w:rPr>
                <w:sz w:val="18"/>
                <w:szCs w:val="18"/>
              </w:rPr>
            </w:pPr>
            <w:proofErr w:type="spellStart"/>
            <w:r>
              <w:rPr>
                <w:sz w:val="18"/>
                <w:szCs w:val="18"/>
              </w:rPr>
              <w:t>Кыргызстандарт</w:t>
            </w:r>
            <w:proofErr w:type="spellEnd"/>
            <w:r>
              <w:rPr>
                <w:sz w:val="18"/>
                <w:szCs w:val="18"/>
              </w:rPr>
              <w:t xml:space="preserve"> </w:t>
            </w:r>
          </w:p>
        </w:tc>
      </w:tr>
      <w:tr w:rsidR="00000000">
        <w:tblPrEx>
          <w:tblCellMar>
            <w:top w:w="0" w:type="dxa"/>
            <w:bottom w:w="0" w:type="dxa"/>
          </w:tblCellMar>
        </w:tblPrEx>
        <w:tc>
          <w:tcPr>
            <w:tcW w:w="294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rPr>
                <w:sz w:val="18"/>
                <w:szCs w:val="18"/>
              </w:rPr>
            </w:pPr>
            <w:r>
              <w:rPr>
                <w:sz w:val="18"/>
                <w:szCs w:val="18"/>
              </w:rPr>
              <w:t xml:space="preserve">Россия </w:t>
            </w:r>
          </w:p>
        </w:tc>
        <w:tc>
          <w:tcPr>
            <w:tcW w:w="223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RU</w:t>
            </w:r>
          </w:p>
        </w:tc>
        <w:tc>
          <w:tcPr>
            <w:tcW w:w="429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829C2">
            <w:pPr>
              <w:pStyle w:val="a3"/>
              <w:rPr>
                <w:sz w:val="18"/>
                <w:szCs w:val="18"/>
              </w:rPr>
            </w:pPr>
            <w:proofErr w:type="spellStart"/>
            <w:r>
              <w:rPr>
                <w:sz w:val="18"/>
                <w:szCs w:val="18"/>
              </w:rPr>
              <w:t>Росстандарт</w:t>
            </w:r>
            <w:proofErr w:type="spellEnd"/>
            <w:r>
              <w:rPr>
                <w:sz w:val="18"/>
                <w:szCs w:val="18"/>
              </w:rPr>
              <w:t xml:space="preserve"> </w:t>
            </w:r>
          </w:p>
        </w:tc>
      </w:tr>
      <w:tr w:rsidR="00000000">
        <w:tblPrEx>
          <w:tblCellMar>
            <w:top w:w="0" w:type="dxa"/>
            <w:bottom w:w="0" w:type="dxa"/>
          </w:tblCellMar>
        </w:tblPrEx>
        <w:tc>
          <w:tcPr>
            <w:tcW w:w="2940" w:type="dxa"/>
            <w:tcBorders>
              <w:top w:val="nil"/>
              <w:left w:val="single" w:sz="6" w:space="0" w:color="auto"/>
              <w:bottom w:val="single" w:sz="6" w:space="0" w:color="auto"/>
              <w:right w:val="nil"/>
            </w:tcBorders>
            <w:tcMar>
              <w:top w:w="114" w:type="dxa"/>
              <w:left w:w="28" w:type="dxa"/>
              <w:bottom w:w="114" w:type="dxa"/>
              <w:right w:w="28" w:type="dxa"/>
            </w:tcMar>
          </w:tcPr>
          <w:p w:rsidR="00000000" w:rsidRDefault="005829C2">
            <w:pPr>
              <w:pStyle w:val="a3"/>
              <w:rPr>
                <w:sz w:val="18"/>
                <w:szCs w:val="18"/>
              </w:rPr>
            </w:pPr>
            <w:r>
              <w:rPr>
                <w:sz w:val="18"/>
                <w:szCs w:val="18"/>
              </w:rPr>
              <w:t xml:space="preserve">Таджикистан </w:t>
            </w:r>
          </w:p>
        </w:tc>
        <w:tc>
          <w:tcPr>
            <w:tcW w:w="2235" w:type="dxa"/>
            <w:tcBorders>
              <w:top w:val="nil"/>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TJ</w:t>
            </w:r>
          </w:p>
        </w:tc>
        <w:tc>
          <w:tcPr>
            <w:tcW w:w="429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5829C2">
            <w:pPr>
              <w:pStyle w:val="a3"/>
              <w:rPr>
                <w:sz w:val="18"/>
                <w:szCs w:val="18"/>
              </w:rPr>
            </w:pPr>
            <w:proofErr w:type="spellStart"/>
            <w:r>
              <w:rPr>
                <w:sz w:val="18"/>
                <w:szCs w:val="18"/>
              </w:rPr>
              <w:t>Таджикстандарт</w:t>
            </w:r>
            <w:proofErr w:type="spellEnd"/>
            <w:r>
              <w:rPr>
                <w:sz w:val="18"/>
                <w:szCs w:val="18"/>
              </w:rPr>
              <w:t xml:space="preserve"> </w:t>
            </w:r>
          </w:p>
        </w:tc>
      </w:tr>
    </w:tbl>
    <w:p w:rsidR="00000000" w:rsidRDefault="005829C2">
      <w:pPr>
        <w:pStyle w:val="a3"/>
      </w:pPr>
    </w:p>
    <w:p w:rsidR="00000000" w:rsidRDefault="005829C2">
      <w:pPr>
        <w:pStyle w:val="FORMATTEXT"/>
        <w:ind w:firstLine="568"/>
        <w:jc w:val="both"/>
      </w:pPr>
      <w:r>
        <w:t>4 Приказом Федерального агентства по те</w:t>
      </w:r>
      <w:r>
        <w:t xml:space="preserve">хническому регулированию и метрологии от 9 декабря 2015 г. N 2120-ст межгосударственный стандарт ГОСТ ISO </w:t>
      </w:r>
      <w:proofErr w:type="spellStart"/>
      <w:r>
        <w:t>Guide</w:t>
      </w:r>
      <w:proofErr w:type="spellEnd"/>
      <w:r>
        <w:t xml:space="preserve"> 35-2015 введен в действие в качестве национального стандарта Российск</w:t>
      </w:r>
      <w:r w:rsidR="00AC1147">
        <w:t>ой Федерации с 1 декабря 2016 г</w:t>
      </w:r>
      <w:hyperlink r:id="rId4" w:history="1">
        <w:r w:rsidR="00AC1147" w:rsidRPr="00AC1147">
          <w:rPr>
            <w:rStyle w:val="a4"/>
            <w:u w:val="none"/>
          </w:rPr>
          <w:t>.</w:t>
        </w:r>
      </w:hyperlink>
    </w:p>
    <w:p w:rsidR="00000000" w:rsidRDefault="005829C2">
      <w:pPr>
        <w:pStyle w:val="FORMATTEXT"/>
        <w:ind w:firstLine="568"/>
        <w:jc w:val="both"/>
      </w:pPr>
    </w:p>
    <w:p w:rsidR="00000000" w:rsidRDefault="005829C2">
      <w:pPr>
        <w:pStyle w:val="FORMATTEXT"/>
        <w:ind w:firstLine="568"/>
        <w:jc w:val="both"/>
      </w:pPr>
      <w:r>
        <w:t>5 Настоящий стандарт идентичен меж</w:t>
      </w:r>
      <w:bookmarkStart w:id="0" w:name="_GoBack"/>
      <w:bookmarkEnd w:id="0"/>
      <w:r>
        <w:t>дународ</w:t>
      </w:r>
      <w:r>
        <w:t xml:space="preserve">ному документу Руководство ИСО 35:2006* </w:t>
      </w:r>
      <w:r>
        <w:lastRenderedPageBreak/>
        <w:t>"Стандартные образцы. Общие</w:t>
      </w:r>
      <w:r w:rsidRPr="002E1D3F">
        <w:rPr>
          <w:lang w:val="en-US"/>
        </w:rPr>
        <w:t xml:space="preserve"> </w:t>
      </w:r>
      <w:r>
        <w:t>и</w:t>
      </w:r>
      <w:r w:rsidRPr="002E1D3F">
        <w:rPr>
          <w:lang w:val="en-US"/>
        </w:rPr>
        <w:t xml:space="preserve"> </w:t>
      </w:r>
      <w:r>
        <w:t>статистические</w:t>
      </w:r>
      <w:r w:rsidRPr="002E1D3F">
        <w:rPr>
          <w:lang w:val="en-US"/>
        </w:rPr>
        <w:t xml:space="preserve"> </w:t>
      </w:r>
      <w:r>
        <w:t>принципы</w:t>
      </w:r>
      <w:r w:rsidRPr="002E1D3F">
        <w:rPr>
          <w:lang w:val="en-US"/>
        </w:rPr>
        <w:t xml:space="preserve"> </w:t>
      </w:r>
      <w:r>
        <w:t>сертификации</w:t>
      </w:r>
      <w:r w:rsidRPr="002E1D3F">
        <w:rPr>
          <w:lang w:val="en-US"/>
        </w:rPr>
        <w:t xml:space="preserve"> (</w:t>
      </w:r>
      <w:r>
        <w:t>аттестации</w:t>
      </w:r>
      <w:r w:rsidRPr="002E1D3F">
        <w:rPr>
          <w:lang w:val="en-US"/>
        </w:rPr>
        <w:t xml:space="preserve">)" (ISO Guide 35:2006 Reference materials - General and statistical principles for certification, IDT). </w:t>
      </w:r>
      <w:r>
        <w:t>В стандарт внесены некоторые редак</w:t>
      </w:r>
      <w:r>
        <w:t xml:space="preserve">ционные изменения, причины которых объяснены во введении к настоящему стандарту. </w:t>
      </w:r>
    </w:p>
    <w:p w:rsidR="00000000" w:rsidRDefault="005829C2">
      <w:pPr>
        <w:pStyle w:val="FORMATTEXT"/>
        <w:jc w:val="both"/>
      </w:pPr>
      <w:r>
        <w:t xml:space="preserve">________________ </w:t>
      </w:r>
    </w:p>
    <w:p w:rsidR="00000000" w:rsidRDefault="005829C2">
      <w:pPr>
        <w:pStyle w:val="FORMATTEXT"/>
        <w:ind w:firstLine="568"/>
        <w:jc w:val="both"/>
      </w:pPr>
      <w:r>
        <w:t>* Доступ к международным и зарубежным документам, упомянутым здесь и далее по тексту, можно получить, перейдя по ссылке на сайт http://shop.cntd.ru. - Приме</w:t>
      </w:r>
      <w:r>
        <w:t xml:space="preserve">чание изготовителя базы данных. </w:t>
      </w:r>
    </w:p>
    <w:p w:rsidR="00000000" w:rsidRDefault="005829C2">
      <w:pPr>
        <w:pStyle w:val="FORMATTEXT"/>
        <w:ind w:firstLine="568"/>
        <w:jc w:val="both"/>
      </w:pPr>
    </w:p>
    <w:p w:rsidR="00000000" w:rsidRDefault="005829C2">
      <w:pPr>
        <w:pStyle w:val="FORMATTEXT"/>
        <w:jc w:val="both"/>
      </w:pPr>
      <w:r>
        <w:t xml:space="preserve">            </w:t>
      </w:r>
    </w:p>
    <w:p w:rsidR="00000000" w:rsidRDefault="005829C2">
      <w:pPr>
        <w:pStyle w:val="FORMATTEXT"/>
        <w:ind w:firstLine="568"/>
        <w:jc w:val="both"/>
      </w:pPr>
      <w:r>
        <w:t>При применении настоящего стандарта рекомендуется использовать вместо ссылочных международных стандартов соответствующие им межгосударственные стандарты, сведения о которых приведены в дополнительном приложени</w:t>
      </w:r>
      <w:r>
        <w:t>и ДА</w:t>
      </w:r>
    </w:p>
    <w:p w:rsidR="00000000" w:rsidRDefault="005829C2">
      <w:pPr>
        <w:pStyle w:val="FORMATTEXT"/>
        <w:ind w:firstLine="568"/>
        <w:jc w:val="both"/>
      </w:pPr>
    </w:p>
    <w:p w:rsidR="00000000" w:rsidRDefault="005829C2">
      <w:pPr>
        <w:pStyle w:val="FORMATTEXT"/>
        <w:ind w:firstLine="568"/>
        <w:jc w:val="both"/>
      </w:pPr>
      <w:r>
        <w:t>6 Введен ВПЕРВЫЕ</w:t>
      </w:r>
    </w:p>
    <w:p w:rsidR="00000000" w:rsidRDefault="005829C2">
      <w:pPr>
        <w:pStyle w:val="FORMATTEXT"/>
        <w:ind w:firstLine="568"/>
        <w:jc w:val="both"/>
      </w:pPr>
    </w:p>
    <w:p w:rsidR="00000000" w:rsidRDefault="005829C2">
      <w:pPr>
        <w:pStyle w:val="FORMATTEXT"/>
        <w:ind w:firstLine="568"/>
        <w:jc w:val="both"/>
      </w:pPr>
      <w:r>
        <w:rPr>
          <w:i/>
          <w:iCs/>
        </w:rPr>
        <w:t>Информация об изменениях к настоящему стандарту публикуется в ежегодном информационном указателе "Национальные стандарты", а текст изменений и поправок</w:t>
      </w:r>
      <w:r>
        <w:t xml:space="preserve"> - </w:t>
      </w:r>
      <w:r>
        <w:rPr>
          <w:i/>
          <w:iCs/>
        </w:rPr>
        <w:t>в ежемесячном информационном указателе "Национальные стандарты". В случае пере</w:t>
      </w:r>
      <w:r>
        <w:rPr>
          <w:i/>
          <w:iCs/>
        </w:rPr>
        <w:t>смотра (замены) или отмены настоящего стандарта соответствующее уведомление будет опубликовано в ежемесячном информационном указателе "Национальные стандарты". Соответствующая информация, уведомление и тексты размещаются также в информационной системе обще</w:t>
      </w:r>
      <w:r>
        <w:rPr>
          <w:i/>
          <w:iCs/>
        </w:rPr>
        <w:t>го пользования</w:t>
      </w:r>
      <w:r>
        <w:t xml:space="preserve"> - </w:t>
      </w:r>
      <w:r>
        <w:rPr>
          <w:i/>
          <w:iCs/>
        </w:rPr>
        <w:t>на официальном сайте Федерального агентства по техническому регулированию и метрологии в сети Интернет (www.gost.ru)</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center"/>
        <w:rPr>
          <w:b/>
          <w:bCs/>
          <w:color w:val="000001"/>
        </w:rPr>
      </w:pPr>
      <w:r>
        <w:rPr>
          <w:b/>
          <w:bCs/>
          <w:color w:val="000001"/>
        </w:rPr>
        <w:t xml:space="preserve"> Введение </w:t>
      </w:r>
    </w:p>
    <w:p w:rsidR="00000000" w:rsidRDefault="005829C2">
      <w:pPr>
        <w:pStyle w:val="FORMATTEXT"/>
        <w:ind w:firstLine="568"/>
        <w:jc w:val="both"/>
      </w:pPr>
      <w:r>
        <w:t>Настоящий стандарт входит в серию межгосударственных стандартов в области стандартных образцов, гармонизирова</w:t>
      </w:r>
      <w:r>
        <w:t>нных с руководствами Международной организации по стандартизации (ISO), разработанными Комитетом по стандартным образцам (RЕМКО).</w:t>
      </w:r>
    </w:p>
    <w:p w:rsidR="00000000" w:rsidRDefault="005829C2">
      <w:pPr>
        <w:pStyle w:val="FORMATTEXT"/>
        <w:ind w:firstLine="568"/>
        <w:jc w:val="both"/>
      </w:pPr>
    </w:p>
    <w:p w:rsidR="00000000" w:rsidRDefault="005829C2">
      <w:pPr>
        <w:pStyle w:val="FORMATTEXT"/>
        <w:ind w:firstLine="568"/>
        <w:jc w:val="both"/>
      </w:pPr>
      <w:r>
        <w:t xml:space="preserve">Настоящий стандарт идентичен международному документу - Руководству ИСО 35:2006 "Стандартные образцы. Общие и статистические </w:t>
      </w:r>
      <w:r>
        <w:t xml:space="preserve">принципы (сертификации) аттестации" (ISO </w:t>
      </w:r>
      <w:proofErr w:type="spellStart"/>
      <w:r>
        <w:t>Guide</w:t>
      </w:r>
      <w:proofErr w:type="spellEnd"/>
      <w:r>
        <w:t xml:space="preserve"> 35:2006 </w:t>
      </w:r>
      <w:proofErr w:type="spellStart"/>
      <w:r>
        <w:t>Reference</w:t>
      </w:r>
      <w:proofErr w:type="spellEnd"/>
      <w:r>
        <w:t xml:space="preserve"> </w:t>
      </w:r>
      <w:proofErr w:type="spellStart"/>
      <w:r>
        <w:t>materials</w:t>
      </w:r>
      <w:proofErr w:type="spellEnd"/>
      <w:r>
        <w:t xml:space="preserve"> - </w:t>
      </w:r>
      <w:proofErr w:type="spellStart"/>
      <w:r>
        <w:t>General</w:t>
      </w:r>
      <w:proofErr w:type="spellEnd"/>
      <w:r>
        <w:t xml:space="preserve"> </w:t>
      </w:r>
      <w:proofErr w:type="spellStart"/>
      <w:r>
        <w:t>and</w:t>
      </w:r>
      <w:proofErr w:type="spellEnd"/>
      <w:r>
        <w:t xml:space="preserve"> </w:t>
      </w:r>
      <w:proofErr w:type="spellStart"/>
      <w:r>
        <w:t>statistical</w:t>
      </w:r>
      <w:proofErr w:type="spellEnd"/>
      <w:r>
        <w:t xml:space="preserve"> </w:t>
      </w:r>
      <w:proofErr w:type="spellStart"/>
      <w:r>
        <w:t>principles</w:t>
      </w:r>
      <w:proofErr w:type="spellEnd"/>
      <w:r>
        <w:t xml:space="preserve"> </w:t>
      </w:r>
      <w:proofErr w:type="spellStart"/>
      <w:r>
        <w:t>for</w:t>
      </w:r>
      <w:proofErr w:type="spellEnd"/>
      <w:r>
        <w:t xml:space="preserve"> </w:t>
      </w:r>
      <w:proofErr w:type="spellStart"/>
      <w:r>
        <w:t>certification</w:t>
      </w:r>
      <w:proofErr w:type="spellEnd"/>
      <w:r>
        <w:t>) и устанавливает требования к основным этапам работ при сертификации (аттестации) стандартных образцов.</w:t>
      </w:r>
    </w:p>
    <w:p w:rsidR="00000000" w:rsidRDefault="005829C2">
      <w:pPr>
        <w:pStyle w:val="FORMATTEXT"/>
        <w:ind w:firstLine="568"/>
        <w:jc w:val="both"/>
      </w:pPr>
    </w:p>
    <w:p w:rsidR="00000000" w:rsidRDefault="005829C2">
      <w:pPr>
        <w:pStyle w:val="FORMATTEXT"/>
        <w:ind w:firstLine="568"/>
        <w:jc w:val="both"/>
      </w:pPr>
      <w:r>
        <w:t>Текст стандарта оформ</w:t>
      </w:r>
      <w:r>
        <w:t>лен в соответствии с требованиями ГОСТ 1.5-2001 "Межгосударственная система стандартизации. Стандарты межгосударственные, правила и рекомендации по межгосударственной стандартизации. Общие требования к построению, изложению, оформлению, содержанию и обозна</w:t>
      </w:r>
      <w:r>
        <w:t xml:space="preserve">чению". В частности, текст некоторых разделов ISO </w:t>
      </w:r>
      <w:proofErr w:type="spellStart"/>
      <w:r>
        <w:t>Guide</w:t>
      </w:r>
      <w:proofErr w:type="spellEnd"/>
      <w:r>
        <w:t xml:space="preserve"> 35:2006 разделен по смысловому значению на основное положение, примечание(я) и пример(ы).</w:t>
      </w:r>
    </w:p>
    <w:p w:rsidR="00000000" w:rsidRDefault="005829C2">
      <w:pPr>
        <w:pStyle w:val="FORMATTEXT"/>
        <w:ind w:firstLine="568"/>
        <w:jc w:val="both"/>
      </w:pPr>
    </w:p>
    <w:p w:rsidR="00000000" w:rsidRDefault="005829C2">
      <w:pPr>
        <w:pStyle w:val="FORMATTEXT"/>
        <w:ind w:firstLine="568"/>
        <w:jc w:val="both"/>
      </w:pPr>
      <w:r>
        <w:t>В настоящем стандарте учтен тот факт, что в ряде государств - членов МГС в соответствии с национальным законо</w:t>
      </w:r>
      <w:r>
        <w:t>дательством в области обеспечения единства измерений приняты термины, различающиеся по наименованию, но идентичные по смысловой нагрузке. Это такие термины, как "сертифицированный стандартный образец" и "аттестованный стандартный образец", "сертифицированн</w:t>
      </w:r>
      <w:r>
        <w:t xml:space="preserve">ое значение" и "аттестованное значение", "сертификация стандартного образца" и "аттестация стандартного образца", "сертификат стандартного образца" и "паспорт стандартного образца", "отчет о сертификации" и "отчет об аттестации", "орган по сертификации" и </w:t>
      </w:r>
      <w:r>
        <w:t>"аттестующий орган". В тексте стандарта даны соответствующие двойные наименования терминов. При применении этих терминов рекомендуется учитывать терминологию, принятую в национальных стандартах.</w:t>
      </w:r>
    </w:p>
    <w:p w:rsidR="00000000" w:rsidRDefault="005829C2">
      <w:pPr>
        <w:pStyle w:val="FORMATTEXT"/>
        <w:ind w:firstLine="568"/>
        <w:jc w:val="both"/>
      </w:pPr>
    </w:p>
    <w:p w:rsidR="00000000" w:rsidRDefault="005829C2">
      <w:pPr>
        <w:pStyle w:val="FORMATTEXT"/>
        <w:ind w:firstLine="568"/>
        <w:jc w:val="both"/>
      </w:pPr>
      <w:r>
        <w:t>В тексте сохранены обозначения и некоторые сокращения, пропи</w:t>
      </w:r>
      <w:r>
        <w:t xml:space="preserve">санные в ISO </w:t>
      </w:r>
      <w:proofErr w:type="spellStart"/>
      <w:r>
        <w:t>Guide</w:t>
      </w:r>
      <w:proofErr w:type="spellEnd"/>
      <w:r>
        <w:t xml:space="preserve"> 35. Например, ANOVA (сокращенное от </w:t>
      </w:r>
      <w:proofErr w:type="spellStart"/>
      <w:r>
        <w:t>Analysis</w:t>
      </w:r>
      <w:proofErr w:type="spellEnd"/>
      <w:r>
        <w:t xml:space="preserve"> </w:t>
      </w:r>
      <w:proofErr w:type="spellStart"/>
      <w:r>
        <w:t>of</w:t>
      </w:r>
      <w:proofErr w:type="spellEnd"/>
      <w:r>
        <w:t xml:space="preserve"> </w:t>
      </w:r>
      <w:proofErr w:type="spellStart"/>
      <w:r>
        <w:t>Variance</w:t>
      </w:r>
      <w:proofErr w:type="spellEnd"/>
      <w:r>
        <w:t>) - дисперсионный анализ, IDMS - масс-спектрометрия с изотопным разбавлением, GUM - Руководство по выражению неопределенностей.</w:t>
      </w:r>
    </w:p>
    <w:p w:rsidR="00000000" w:rsidRDefault="005829C2">
      <w:pPr>
        <w:pStyle w:val="FORMATTEXT"/>
        <w:ind w:firstLine="568"/>
        <w:jc w:val="both"/>
      </w:pPr>
    </w:p>
    <w:p w:rsidR="00000000" w:rsidRDefault="005829C2">
      <w:pPr>
        <w:pStyle w:val="FORMATTEXT"/>
        <w:ind w:firstLine="568"/>
        <w:jc w:val="both"/>
      </w:pPr>
      <w:r>
        <w:t>Для лучшего восприятия в текст внесены отдельные сло</w:t>
      </w:r>
      <w:r>
        <w:t>ва и словосочетания, которых нет в оригинальном тексте. Определения терминов "</w:t>
      </w:r>
      <w:proofErr w:type="spellStart"/>
      <w:r>
        <w:t>межэкземплярная</w:t>
      </w:r>
      <w:proofErr w:type="spellEnd"/>
      <w:r>
        <w:t xml:space="preserve"> однородность" и "</w:t>
      </w:r>
      <w:proofErr w:type="spellStart"/>
      <w:r>
        <w:t>внутриэкземплярная</w:t>
      </w:r>
      <w:proofErr w:type="spellEnd"/>
      <w:r>
        <w:t xml:space="preserve"> однородность" приведены в соответствии с определениями, данными в ГОСТ 32934-2014 (Руководство ИСО 30:1992/Изменение 1:2008 к </w:t>
      </w:r>
      <w:r>
        <w:t>Руководству ИСО 30:1992) "Термины и определения, используемые в области стандартных образцов". Под термином "параметр (стандартного образца)", используемым по тексту документа, понимается величина, устанавливаемая в рамках сертификации (аттестации), - серт</w:t>
      </w:r>
      <w:r>
        <w:t xml:space="preserve">ифицируемая (аттестуемая) характеристика. В текст документа внесены исправления описок, допущенных в ISO </w:t>
      </w:r>
      <w:proofErr w:type="spellStart"/>
      <w:r>
        <w:t>Guide</w:t>
      </w:r>
      <w:proofErr w:type="spellEnd"/>
      <w:r>
        <w:t xml:space="preserve"> 35:2006: в 10.6.2 и 10.6.3 исправлена идентификация подходов (подход В и подход С). </w:t>
      </w:r>
    </w:p>
    <w:p w:rsidR="00000000" w:rsidRDefault="005829C2">
      <w:pPr>
        <w:pStyle w:val="FORMATTEXT"/>
        <w:jc w:val="both"/>
      </w:pPr>
      <w:r>
        <w:lastRenderedPageBreak/>
        <w:t xml:space="preserve">            </w:t>
      </w:r>
    </w:p>
    <w:p w:rsidR="00000000" w:rsidRDefault="005829C2">
      <w:pPr>
        <w:pStyle w:val="HEADERTEXT"/>
        <w:rPr>
          <w:b/>
          <w:bCs/>
          <w:color w:val="000001"/>
        </w:rPr>
      </w:pPr>
    </w:p>
    <w:p w:rsidR="00000000" w:rsidRDefault="005829C2">
      <w:pPr>
        <w:pStyle w:val="HEADERTEXT"/>
        <w:jc w:val="center"/>
        <w:rPr>
          <w:b/>
          <w:bCs/>
          <w:color w:val="000001"/>
        </w:rPr>
      </w:pPr>
      <w:r>
        <w:rPr>
          <w:b/>
          <w:bCs/>
          <w:color w:val="000001"/>
        </w:rPr>
        <w:t xml:space="preserve"> Предисловие к международному документу </w:t>
      </w:r>
    </w:p>
    <w:p w:rsidR="00000000" w:rsidRDefault="005829C2">
      <w:pPr>
        <w:pStyle w:val="FORMATTEXT"/>
        <w:ind w:firstLine="568"/>
        <w:jc w:val="both"/>
      </w:pPr>
      <w:r>
        <w:t>ISO (</w:t>
      </w:r>
      <w:r>
        <w:t>Международная организация по стандартизации) является всемирной федерацией национальных организаций по стандартизации (организаций - членов ISO). Разработка международных стандартов обычно проводится техническими комитетами ISO. Каждая организация - член I</w:t>
      </w:r>
      <w:r>
        <w:t>SO, заинтересованная в деятельности, для которой технический комитет был создан, имеет право быть представленной в этом комитете. Сотрудничающие с ISO международные организации, как правительственные, так и неправительственные, также принимают участие в ра</w:t>
      </w:r>
      <w:r>
        <w:t>боте ISO. ISO тесно сотрудничает с Международной электротехнической комиссией (IEC) по всем вопросам стандартизации в области электротехники.</w:t>
      </w:r>
    </w:p>
    <w:p w:rsidR="00000000" w:rsidRDefault="005829C2">
      <w:pPr>
        <w:pStyle w:val="FORMATTEXT"/>
        <w:ind w:firstLine="568"/>
        <w:jc w:val="both"/>
      </w:pPr>
    </w:p>
    <w:p w:rsidR="00000000" w:rsidRDefault="005829C2">
      <w:pPr>
        <w:pStyle w:val="FORMATTEXT"/>
        <w:ind w:firstLine="568"/>
        <w:jc w:val="both"/>
      </w:pPr>
      <w:r>
        <w:t>Международные стандарты разрабатывают в соответствии с правилами, установленными в директивах ISO/IEC, часть 2.</w:t>
      </w:r>
    </w:p>
    <w:p w:rsidR="00000000" w:rsidRDefault="005829C2">
      <w:pPr>
        <w:pStyle w:val="FORMATTEXT"/>
        <w:ind w:firstLine="568"/>
        <w:jc w:val="both"/>
      </w:pPr>
    </w:p>
    <w:p w:rsidR="00000000" w:rsidRDefault="005829C2">
      <w:pPr>
        <w:pStyle w:val="FORMATTEXT"/>
        <w:ind w:firstLine="568"/>
        <w:jc w:val="both"/>
      </w:pPr>
      <w:r>
        <w:t>Проекты руководств, принятые соответствующими комитетом или группой, рассылаются организациям-членам на голосование. Для их опубликования в качестве руководства требуется одобрение не менее 75% организаций-членов, принявших участие в голосовании.</w:t>
      </w:r>
    </w:p>
    <w:p w:rsidR="00000000" w:rsidRDefault="005829C2">
      <w:pPr>
        <w:pStyle w:val="FORMATTEXT"/>
        <w:ind w:firstLine="568"/>
        <w:jc w:val="both"/>
      </w:pPr>
    </w:p>
    <w:p w:rsidR="00000000" w:rsidRDefault="005829C2">
      <w:pPr>
        <w:pStyle w:val="FORMATTEXT"/>
        <w:ind w:firstLine="568"/>
        <w:jc w:val="both"/>
      </w:pPr>
      <w:r>
        <w:t>Следует </w:t>
      </w:r>
      <w:r>
        <w:t>обратить внимание на то, что некоторые элементы настоящего стандарта могут быть предметом патентных прав. ISO не может считаться ответственной за обнаружение каких-либо или всех таких патентных прав.</w:t>
      </w:r>
    </w:p>
    <w:p w:rsidR="00000000" w:rsidRDefault="005829C2">
      <w:pPr>
        <w:pStyle w:val="FORMATTEXT"/>
        <w:ind w:firstLine="568"/>
        <w:jc w:val="both"/>
      </w:pPr>
    </w:p>
    <w:p w:rsidR="00000000" w:rsidRDefault="005829C2">
      <w:pPr>
        <w:pStyle w:val="FORMATTEXT"/>
        <w:ind w:firstLine="568"/>
        <w:jc w:val="both"/>
      </w:pPr>
      <w:r>
        <w:t>ISO </w:t>
      </w:r>
      <w:proofErr w:type="spellStart"/>
      <w:r>
        <w:t>Guide</w:t>
      </w:r>
      <w:proofErr w:type="spellEnd"/>
      <w:r>
        <w:t xml:space="preserve"> 35:2006 подготовлен комитетом по стандартным </w:t>
      </w:r>
      <w:r>
        <w:t>образцам (RЕМCO).</w:t>
      </w:r>
    </w:p>
    <w:p w:rsidR="00000000" w:rsidRDefault="005829C2">
      <w:pPr>
        <w:pStyle w:val="FORMATTEXT"/>
        <w:ind w:firstLine="568"/>
        <w:jc w:val="both"/>
      </w:pPr>
    </w:p>
    <w:p w:rsidR="00000000" w:rsidRDefault="005829C2">
      <w:pPr>
        <w:pStyle w:val="FORMATTEXT"/>
        <w:ind w:firstLine="568"/>
        <w:jc w:val="both"/>
      </w:pPr>
      <w:r>
        <w:t xml:space="preserve">Это третье издание отменяет и заменяет второе издание (ISO </w:t>
      </w:r>
      <w:proofErr w:type="spellStart"/>
      <w:r>
        <w:t>Guide</w:t>
      </w:r>
      <w:proofErr w:type="spellEnd"/>
      <w:r>
        <w:t xml:space="preserve"> 35:2006), все разделы которого, относящиеся к оценке неопределенности измерений, были тщательно пересмотрены. В это пересмотренное издание включено также соответствующее со</w:t>
      </w:r>
      <w:r>
        <w:t>временным требованиям изложение технических вопросов, относящихся к производству и сертификации (аттестации) стандартных образцов.</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center"/>
        <w:rPr>
          <w:b/>
          <w:bCs/>
          <w:color w:val="000001"/>
        </w:rPr>
      </w:pPr>
      <w:r>
        <w:rPr>
          <w:b/>
          <w:bCs/>
          <w:color w:val="000001"/>
        </w:rPr>
        <w:t xml:space="preserve"> Введение к международному документу </w:t>
      </w:r>
    </w:p>
    <w:p w:rsidR="00000000" w:rsidRDefault="005829C2">
      <w:pPr>
        <w:pStyle w:val="FORMATTEXT"/>
        <w:jc w:val="center"/>
      </w:pPr>
      <w:r>
        <w:t xml:space="preserve">  </w:t>
      </w:r>
    </w:p>
    <w:p w:rsidR="00000000" w:rsidRDefault="005829C2">
      <w:pPr>
        <w:pStyle w:val="FORMATTEXT"/>
        <w:ind w:firstLine="568"/>
        <w:jc w:val="both"/>
      </w:pPr>
      <w:r>
        <w:t>Производство, </w:t>
      </w:r>
      <w:proofErr w:type="spellStart"/>
      <w:r>
        <w:t>характеризация</w:t>
      </w:r>
      <w:proofErr w:type="spellEnd"/>
      <w:r>
        <w:t xml:space="preserve"> и сертификация (аттестация) стандартных образцов (СО</w:t>
      </w:r>
      <w:r>
        <w:t xml:space="preserve">) является ключевой деятельностью в совершенствовании и поддержании всемирной когерентной системы измерений. Как указано в руководствах 32 и 33 ИСО, сертифицированные (аттестованные) СО [CCO (АСО)] используют для калибровки, контроля качества и </w:t>
      </w:r>
      <w:proofErr w:type="spellStart"/>
      <w:r>
        <w:t>валидации</w:t>
      </w:r>
      <w:proofErr w:type="spellEnd"/>
      <w:r>
        <w:t xml:space="preserve"> м</w:t>
      </w:r>
      <w:r>
        <w:t xml:space="preserve">етодов, а также для приписывания значений другим материалам, которые, в свою очередь, также могут быть CCO (АСО). Кроме того, CCO (АСО) используются для поддержания или установления </w:t>
      </w:r>
      <w:proofErr w:type="spellStart"/>
      <w:r>
        <w:t>прослеживаемости</w:t>
      </w:r>
      <w:proofErr w:type="spellEnd"/>
      <w:r>
        <w:t xml:space="preserve"> к условным шкалам, таким как октановое число, шкалы тверд</w:t>
      </w:r>
      <w:r>
        <w:t>ости и рН. И последнее, но не менее важное - некоторые чистые вещества также используются для поддержания международной температурной шкалы.</w:t>
      </w:r>
    </w:p>
    <w:p w:rsidR="00000000" w:rsidRDefault="005829C2">
      <w:pPr>
        <w:pStyle w:val="FORMATTEXT"/>
        <w:ind w:firstLine="568"/>
        <w:jc w:val="both"/>
      </w:pPr>
    </w:p>
    <w:p w:rsidR="00000000" w:rsidRDefault="005829C2">
      <w:pPr>
        <w:pStyle w:val="FORMATTEXT"/>
        <w:ind w:firstLine="568"/>
        <w:jc w:val="both"/>
      </w:pPr>
      <w:r>
        <w:t>Для изготовителей CCO (АСО) разработаны три руководства ISO, которые будут полезны в создании средств производства</w:t>
      </w:r>
      <w:r>
        <w:t xml:space="preserve"> и сертификации (аттестации) СО и в обеспечении </w:t>
      </w:r>
      <w:proofErr w:type="gramStart"/>
      <w:r>
        <w:t>соответствия качества</w:t>
      </w:r>
      <w:proofErr w:type="gramEnd"/>
      <w:r>
        <w:t xml:space="preserve"> произведенных таким образом CCO (АСО) требованиям конечного потребителя. В ISO </w:t>
      </w:r>
      <w:proofErr w:type="spellStart"/>
      <w:r>
        <w:t>Guide</w:t>
      </w:r>
      <w:proofErr w:type="spellEnd"/>
      <w:r>
        <w:t xml:space="preserve"> 35 установлены требования, которые необходимо выполнить изготовителю CCO (АСО) для демонстрации своей</w:t>
      </w:r>
      <w:r>
        <w:t xml:space="preserve"> компетентности, тогда как в настоящем руководстве даются разъяснения о том, как выполнить эти требования. На общем уровне ISO </w:t>
      </w:r>
      <w:proofErr w:type="spellStart"/>
      <w:r>
        <w:t>Guide</w:t>
      </w:r>
      <w:proofErr w:type="spellEnd"/>
      <w:r>
        <w:t xml:space="preserve"> 35 предлагает модели проведения исследований однородности, стабильности и </w:t>
      </w:r>
      <w:proofErr w:type="spellStart"/>
      <w:r>
        <w:t>характеризации</w:t>
      </w:r>
      <w:proofErr w:type="spellEnd"/>
      <w:r>
        <w:t xml:space="preserve"> материала СО. В ISO </w:t>
      </w:r>
      <w:proofErr w:type="spellStart"/>
      <w:r>
        <w:t>Guide</w:t>
      </w:r>
      <w:proofErr w:type="spellEnd"/>
      <w:r>
        <w:t xml:space="preserve"> 31 описа</w:t>
      </w:r>
      <w:r>
        <w:t>ны форма и содержание сертификатов (паспортов) CCO (АСО).</w:t>
      </w:r>
    </w:p>
    <w:p w:rsidR="00000000" w:rsidRDefault="005829C2">
      <w:pPr>
        <w:pStyle w:val="FORMATTEXT"/>
        <w:ind w:firstLine="568"/>
        <w:jc w:val="both"/>
      </w:pPr>
    </w:p>
    <w:p w:rsidR="00000000" w:rsidRDefault="005829C2">
      <w:pPr>
        <w:pStyle w:val="FORMATTEXT"/>
        <w:ind w:firstLine="568"/>
        <w:jc w:val="both"/>
      </w:pPr>
      <w:r>
        <w:t>Настоящее руководство в некоторой степени является интерпретацией руководства по выражению неопределенности в измерениях (GUM) в отношении особенностей производства CCO (АСО). В тех случаях, где эт</w:t>
      </w:r>
      <w:r>
        <w:t>о возможно, в настоящем руководстве даны ссылки на GUM, т.к. в последнем представлено подробное описание выполнения оценки неопределенности значения, полученного в результате измерений. Настоящее руководство дополняет GUM в плане предоставления дополнитель</w:t>
      </w:r>
      <w:r>
        <w:t>ных рекомендаций по включению неопределенностей от (остаточной) неоднородности партии и нестабильности материала СО в неопределенность значений параметров и по определению вклада этих неопределенностей.</w:t>
      </w:r>
    </w:p>
    <w:p w:rsidR="00000000" w:rsidRDefault="005829C2">
      <w:pPr>
        <w:pStyle w:val="FORMATTEXT"/>
        <w:ind w:firstLine="568"/>
        <w:jc w:val="both"/>
      </w:pPr>
    </w:p>
    <w:p w:rsidR="00000000" w:rsidRDefault="005829C2">
      <w:pPr>
        <w:pStyle w:val="FORMATTEXT"/>
        <w:ind w:firstLine="568"/>
        <w:jc w:val="both"/>
      </w:pPr>
      <w:r>
        <w:t>Хотя настоящий стандарт разработан для обеспечения н</w:t>
      </w:r>
      <w:r>
        <w:t xml:space="preserve">аилучшей практики при производстве и </w:t>
      </w:r>
      <w:proofErr w:type="spellStart"/>
      <w:r>
        <w:t>характеризации</w:t>
      </w:r>
      <w:proofErr w:type="spellEnd"/>
      <w:r>
        <w:t xml:space="preserve"> СО, его использование без тщательного анализа применимости его отдельных частей </w:t>
      </w:r>
      <w:r>
        <w:lastRenderedPageBreak/>
        <w:t>к конкретному CCO (АСО) все же может стать причиной установления значений параметров (и их неопределенностей) на неверной ил</w:t>
      </w:r>
      <w:r>
        <w:t>и ошибочной основе. Пользователь этого вида документации должен помнить, что она не может заменить "критическое мышление, интеллектуальную честность и профессиональное мастерство" (GUM:1993, 3.4.8). Качество такого "продукта", как CCO (АСО), в равной степе</w:t>
      </w:r>
      <w:r>
        <w:t>ни зависит как от этих аспектов, так и от использования подходящих процедур и методов.</w:t>
      </w:r>
    </w:p>
    <w:p w:rsidR="00000000" w:rsidRDefault="005829C2">
      <w:pPr>
        <w:pStyle w:val="FORMATTEXT"/>
        <w:ind w:firstLine="568"/>
        <w:jc w:val="both"/>
      </w:pPr>
    </w:p>
    <w:p w:rsidR="00000000" w:rsidRDefault="005829C2">
      <w:pPr>
        <w:pStyle w:val="FORMATTEXT"/>
        <w:ind w:firstLine="568"/>
        <w:jc w:val="both"/>
      </w:pPr>
      <w:r>
        <w:t>Для корректной обработки и интерпретации экспериментальных данных при выполнении типовых проектов сертификации (аттестации) требуется глубокое знание материала и его св</w:t>
      </w:r>
      <w:r>
        <w:t xml:space="preserve">ойств, методов измерений, используемых в процессе исследования однородности, стабильности и </w:t>
      </w:r>
      <w:proofErr w:type="spellStart"/>
      <w:r>
        <w:t>характеризации</w:t>
      </w:r>
      <w:proofErr w:type="spellEnd"/>
      <w:r>
        <w:t xml:space="preserve"> материала, наряду с глубоким знанием статистических методов. Именно объединение этих необходимых составляющих делает производство и сертификацию (атт</w:t>
      </w:r>
      <w:r>
        <w:t>естацию) СО столь сложными. Важнейшей задачей является сочетание этих составляющих для их успешной реализации в данных проектах.</w:t>
      </w:r>
    </w:p>
    <w:p w:rsidR="00000000" w:rsidRDefault="005829C2">
      <w:pPr>
        <w:pStyle w:val="FORMATTEXT"/>
        <w:ind w:firstLine="568"/>
        <w:jc w:val="both"/>
      </w:pPr>
    </w:p>
    <w:p w:rsidR="00000000" w:rsidRDefault="005829C2">
      <w:pPr>
        <w:pStyle w:val="FORMATTEXT"/>
        <w:ind w:firstLine="568"/>
        <w:jc w:val="both"/>
      </w:pPr>
      <w:r>
        <w:t xml:space="preserve">Большинство положений настоящего стандарта относится к производству СО любых категорий. Такие требования, как </w:t>
      </w:r>
      <w:proofErr w:type="spellStart"/>
      <w:r>
        <w:t>прослеживаемость</w:t>
      </w:r>
      <w:proofErr w:type="spellEnd"/>
      <w:r>
        <w:t xml:space="preserve"> значений параметров, необходимость полной оценки неопределенности измерений, в числе других относятся к большинству категорий СО, что позволяет их использовать в качестве калибраторов или средств контроля метода или для приписывания значения другому матер</w:t>
      </w:r>
      <w:r>
        <w:t>иалу.</w:t>
      </w:r>
    </w:p>
    <w:p w:rsidR="00000000" w:rsidRDefault="005829C2">
      <w:pPr>
        <w:pStyle w:val="FORMATTEXT"/>
        <w:ind w:firstLine="568"/>
        <w:jc w:val="both"/>
      </w:pPr>
    </w:p>
    <w:p w:rsidR="00000000" w:rsidRDefault="005829C2">
      <w:pPr>
        <w:pStyle w:val="FORMATTEXT"/>
        <w:ind w:firstLine="568"/>
        <w:jc w:val="both"/>
      </w:pPr>
      <w:r>
        <w:t>Фармакопейные эталоны и вещества создаются и распространяются фармакопейными уполномоченными организациями в соответствии с общими принципами настоящего стандарта. Для производства этих видов СО существуют конкретные руководства. Следует отметить, о</w:t>
      </w:r>
      <w:r>
        <w:t xml:space="preserve">днако, что фармакопейные уполномоченные организации следуют иному подходу при обеспечении потребителя информацией, содержащейся в сертификатах анализа и о сроках годности. Кроме того, не указывается неопределенность их приписанных значений, так как это не </w:t>
      </w:r>
      <w:r>
        <w:t>требуется предписанным применением этих СО в соответствующих руководствах.</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1 Область применения </w:t>
      </w:r>
    </w:p>
    <w:p w:rsidR="00000000" w:rsidRDefault="005829C2">
      <w:pPr>
        <w:pStyle w:val="FORMATTEXT"/>
        <w:ind w:firstLine="568"/>
        <w:jc w:val="both"/>
      </w:pPr>
      <w:r>
        <w:t>В настоящем стандарте рассмотрены статистические принципы, способствующие пониманию и разработке надежных методов приписывания значений параметров стан</w:t>
      </w:r>
      <w:r>
        <w:t xml:space="preserve">дартного образца, включая оценку связанной с ними неопределенности и установления их метрологической </w:t>
      </w:r>
      <w:proofErr w:type="spellStart"/>
      <w:r>
        <w:t>прослеживаемости</w:t>
      </w:r>
      <w:proofErr w:type="spellEnd"/>
      <w:r>
        <w:t>. Стандартные образцы (СО), проходящие все этапы сертификации (аттестации), описанные в настоящем стандарте, обычно сопровождаются сертифик</w:t>
      </w:r>
      <w:r>
        <w:t>атом (паспортом) и называются сертифицированными (аттестованными) стандартными образцами [ССО (АСО)]. Настоящий стандарт будет полезен для установления возможности применения ССО (АСО) как средств обеспечения сравнимости, точности и сопоставимости результа</w:t>
      </w:r>
      <w:r>
        <w:t>тов измерений с национальными и международными шкалами.</w:t>
      </w:r>
    </w:p>
    <w:p w:rsidR="00000000" w:rsidRDefault="005829C2">
      <w:pPr>
        <w:pStyle w:val="FORMATTEXT"/>
        <w:ind w:firstLine="568"/>
        <w:jc w:val="both"/>
      </w:pPr>
    </w:p>
    <w:p w:rsidR="00000000" w:rsidRDefault="005829C2">
      <w:pPr>
        <w:pStyle w:val="FORMATTEXT"/>
        <w:ind w:firstLine="568"/>
        <w:jc w:val="both"/>
      </w:pPr>
      <w:r>
        <w:t>Для того чтобы быть сопоставимыми внутри лаборатории, между лабораториями и во времени, измерения должны быть прослеживаемы к соответствующим опорным значениям. ССО (АСО) играют ключевую роль в реали</w:t>
      </w:r>
      <w:r>
        <w:t xml:space="preserve">зации концепции </w:t>
      </w:r>
      <w:proofErr w:type="spellStart"/>
      <w:r>
        <w:t>прослеживаемости</w:t>
      </w:r>
      <w:proofErr w:type="spellEnd"/>
      <w:r>
        <w:t xml:space="preserve"> результатов измерений в химии, биологии, физике и других областях науки, имеющих дело с материалами и/или образцами. Лаборатории используют эти ССО (АСО) в качестве легкодоступных эталонов для установления </w:t>
      </w:r>
      <w:proofErr w:type="spellStart"/>
      <w:r>
        <w:t>прослеживаемости</w:t>
      </w:r>
      <w:proofErr w:type="spellEnd"/>
      <w:r>
        <w:t xml:space="preserve"> </w:t>
      </w:r>
      <w:r>
        <w:t>результатов своих измерений к международным эталонам.</w:t>
      </w:r>
    </w:p>
    <w:p w:rsidR="00000000" w:rsidRDefault="005829C2">
      <w:pPr>
        <w:pStyle w:val="FORMATTEXT"/>
        <w:ind w:firstLine="568"/>
        <w:jc w:val="both"/>
      </w:pPr>
    </w:p>
    <w:p w:rsidR="00000000" w:rsidRDefault="005829C2">
      <w:pPr>
        <w:pStyle w:val="FORMATTEXT"/>
        <w:ind w:firstLine="568"/>
        <w:jc w:val="both"/>
      </w:pPr>
      <w:r>
        <w:t xml:space="preserve">Для значений свойств, воспроизводимых ССО (АСО), во время его производства можно установить </w:t>
      </w:r>
      <w:proofErr w:type="spellStart"/>
      <w:r>
        <w:t>прослеживаемость</w:t>
      </w:r>
      <w:proofErr w:type="spellEnd"/>
      <w:r>
        <w:t xml:space="preserve"> к единицам системы СИ или другим единицам, согласованным на международном уровне. Настоящий </w:t>
      </w:r>
      <w:r>
        <w:t xml:space="preserve">стандарт объясняет, как можно разработать методы, которые приведут к установленным значениям параметров, имеющим </w:t>
      </w:r>
      <w:proofErr w:type="spellStart"/>
      <w:r>
        <w:t>прослеживаемость</w:t>
      </w:r>
      <w:proofErr w:type="spellEnd"/>
      <w:r>
        <w:t xml:space="preserve"> к соответствующим опорным значениям. Настоящий стандарт охватывает обширный круг материалов (матриц) - от газовых смесей до би</w:t>
      </w:r>
      <w:r>
        <w:t>ологических материалов и очень широкий диапазон параметров - от химического состава до физических и иммунологических свойств.</w:t>
      </w:r>
    </w:p>
    <w:p w:rsidR="00000000" w:rsidRDefault="005829C2">
      <w:pPr>
        <w:pStyle w:val="FORMATTEXT"/>
        <w:ind w:firstLine="568"/>
        <w:jc w:val="both"/>
      </w:pPr>
    </w:p>
    <w:p w:rsidR="00000000" w:rsidRDefault="005829C2">
      <w:pPr>
        <w:pStyle w:val="FORMATTEXT"/>
        <w:ind w:firstLine="568"/>
        <w:jc w:val="both"/>
      </w:pPr>
      <w:r>
        <w:t>Подходы, описанные в настоящем стандарте, не являются исчерпывающимися по всем аспектам производства СО и установления значений и</w:t>
      </w:r>
      <w:r>
        <w:t>х параметров, включая связанные с ними неопределенности. Подходы, изложенные в настоящем стандарте, следует рассматривать как основные подходы к производству и приписыванию значений для больших групп СО, но в каждом конкретном случае может возникнуть необх</w:t>
      </w:r>
      <w:r>
        <w:t>одимость в соответствующих корректировках. Описанные статистические методы иллюстрируют изложенные подходы и предполагают, например, нормально распределенные данные. В частности, когда данные распределены ненормально, предпочтение может отдаваться другим с</w:t>
      </w:r>
      <w:r>
        <w:t xml:space="preserve">татистическим методам для получения достоверных значений параметров и связанных с ними неопределенностей. В настоящем стандарте описаны в общих чертах основные </w:t>
      </w:r>
      <w:r>
        <w:lastRenderedPageBreak/>
        <w:t>этапы выполнения проектов по производству ССО (АСО).</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2 Нормативные ссылки </w:t>
      </w:r>
    </w:p>
    <w:p w:rsidR="00000000" w:rsidRDefault="005829C2">
      <w:pPr>
        <w:pStyle w:val="FORMATTEXT"/>
        <w:ind w:firstLine="568"/>
        <w:jc w:val="both"/>
      </w:pPr>
      <w:r>
        <w:t>В настоящем с</w:t>
      </w:r>
      <w:r>
        <w:t>тандарте использованы нормативные ссылки на нижеперечисленные стандарты*. Для датированных ссылок применяют только указанное издание ссылочного документа. Для недатированных ссылок применяют последнее издание ссылочного документа (включая все его изменения</w:t>
      </w:r>
      <w:r>
        <w:t xml:space="preserve">). </w:t>
      </w:r>
    </w:p>
    <w:p w:rsidR="00000000" w:rsidRDefault="005829C2">
      <w:pPr>
        <w:pStyle w:val="FORMATTEXT"/>
        <w:jc w:val="both"/>
      </w:pPr>
      <w:r>
        <w:t xml:space="preserve">_______________ </w:t>
      </w:r>
    </w:p>
    <w:p w:rsidR="00000000" w:rsidRDefault="005829C2">
      <w:pPr>
        <w:pStyle w:val="FORMATTEXT"/>
        <w:ind w:firstLine="568"/>
        <w:jc w:val="both"/>
      </w:pPr>
      <w:r>
        <w:t>* Таблицу соответствия национальных стандартов международным см. по ссылке. - Примечание изготовителя базы данных.     </w:t>
      </w:r>
    </w:p>
    <w:p w:rsidR="00000000" w:rsidRDefault="005829C2">
      <w:pPr>
        <w:pStyle w:val="FORMATTEXT"/>
        <w:ind w:firstLine="568"/>
        <w:jc w:val="both"/>
      </w:pPr>
    </w:p>
    <w:p w:rsidR="00000000" w:rsidRDefault="005829C2">
      <w:pPr>
        <w:pStyle w:val="FORMATTEXT"/>
        <w:jc w:val="both"/>
      </w:pPr>
      <w:r>
        <w:t xml:space="preserve">            </w:t>
      </w:r>
    </w:p>
    <w:p w:rsidR="00000000" w:rsidRPr="002E1D3F" w:rsidRDefault="005829C2">
      <w:pPr>
        <w:pStyle w:val="FORMATTEXT"/>
        <w:ind w:firstLine="568"/>
        <w:jc w:val="both"/>
        <w:rPr>
          <w:lang w:val="en-US"/>
        </w:rPr>
      </w:pPr>
      <w:r w:rsidRPr="002E1D3F">
        <w:rPr>
          <w:lang w:val="en-US"/>
        </w:rPr>
        <w:t>ISO 3534-1, Statistics - Vocabulary and symbols - Part 1: Probability and general statistical terms (</w:t>
      </w:r>
      <w:r>
        <w:t>Статистика</w:t>
      </w:r>
      <w:r w:rsidRPr="002E1D3F">
        <w:rPr>
          <w:lang w:val="en-US"/>
        </w:rPr>
        <w:t xml:space="preserve">. </w:t>
      </w:r>
      <w:r>
        <w:t>Словарь</w:t>
      </w:r>
      <w:r w:rsidRPr="002E1D3F">
        <w:rPr>
          <w:lang w:val="en-US"/>
        </w:rPr>
        <w:t xml:space="preserve"> </w:t>
      </w:r>
      <w:r>
        <w:t>и</w:t>
      </w:r>
      <w:r w:rsidRPr="002E1D3F">
        <w:rPr>
          <w:lang w:val="en-US"/>
        </w:rPr>
        <w:t xml:space="preserve"> </w:t>
      </w:r>
      <w:r>
        <w:t>обозначения</w:t>
      </w:r>
      <w:r w:rsidRPr="002E1D3F">
        <w:rPr>
          <w:lang w:val="en-US"/>
        </w:rPr>
        <w:t xml:space="preserve">. </w:t>
      </w:r>
      <w:r>
        <w:t>Часть</w:t>
      </w:r>
      <w:r w:rsidRPr="002E1D3F">
        <w:rPr>
          <w:lang w:val="en-US"/>
        </w:rPr>
        <w:t xml:space="preserve"> 1. </w:t>
      </w:r>
      <w:r>
        <w:t>Вероятность</w:t>
      </w:r>
      <w:r w:rsidRPr="002E1D3F">
        <w:rPr>
          <w:lang w:val="en-US"/>
        </w:rPr>
        <w:t xml:space="preserve"> </w:t>
      </w:r>
      <w:r>
        <w:t>и</w:t>
      </w:r>
      <w:r w:rsidRPr="002E1D3F">
        <w:rPr>
          <w:lang w:val="en-US"/>
        </w:rPr>
        <w:t xml:space="preserve"> </w:t>
      </w:r>
      <w:r>
        <w:t>общие</w:t>
      </w:r>
      <w:r w:rsidRPr="002E1D3F">
        <w:rPr>
          <w:lang w:val="en-US"/>
        </w:rPr>
        <w:t xml:space="preserve"> </w:t>
      </w:r>
      <w:r>
        <w:t>статистические</w:t>
      </w:r>
      <w:r w:rsidRPr="002E1D3F">
        <w:rPr>
          <w:lang w:val="en-US"/>
        </w:rPr>
        <w:t xml:space="preserve"> </w:t>
      </w:r>
      <w:r>
        <w:t>термины</w:t>
      </w:r>
      <w:r w:rsidRPr="002E1D3F">
        <w:rPr>
          <w:lang w:val="en-US"/>
        </w:rPr>
        <w:t>)</w:t>
      </w:r>
    </w:p>
    <w:p w:rsidR="00000000" w:rsidRPr="002E1D3F" w:rsidRDefault="005829C2">
      <w:pPr>
        <w:pStyle w:val="FORMATTEXT"/>
        <w:ind w:firstLine="568"/>
        <w:jc w:val="both"/>
        <w:rPr>
          <w:lang w:val="en-US"/>
        </w:rPr>
      </w:pPr>
    </w:p>
    <w:p w:rsidR="00000000" w:rsidRPr="002E1D3F" w:rsidRDefault="005829C2">
      <w:pPr>
        <w:pStyle w:val="FORMATTEXT"/>
        <w:ind w:firstLine="568"/>
        <w:jc w:val="both"/>
        <w:rPr>
          <w:lang w:val="en-US"/>
        </w:rPr>
      </w:pPr>
      <w:r w:rsidRPr="002E1D3F">
        <w:rPr>
          <w:lang w:val="en-US"/>
        </w:rPr>
        <w:t>ISO Guide 30, Terms and definitions used in connection with reference materials (</w:t>
      </w:r>
      <w:r>
        <w:t>Термины</w:t>
      </w:r>
      <w:r w:rsidRPr="002E1D3F">
        <w:rPr>
          <w:lang w:val="en-US"/>
        </w:rPr>
        <w:t xml:space="preserve"> </w:t>
      </w:r>
      <w:r>
        <w:t>и</w:t>
      </w:r>
      <w:r w:rsidRPr="002E1D3F">
        <w:rPr>
          <w:lang w:val="en-US"/>
        </w:rPr>
        <w:t xml:space="preserve"> </w:t>
      </w:r>
      <w:r>
        <w:t>определения</w:t>
      </w:r>
      <w:r w:rsidRPr="002E1D3F">
        <w:rPr>
          <w:lang w:val="en-US"/>
        </w:rPr>
        <w:t xml:space="preserve">, </w:t>
      </w:r>
      <w:r>
        <w:t>используемые</w:t>
      </w:r>
      <w:r w:rsidRPr="002E1D3F">
        <w:rPr>
          <w:lang w:val="en-US"/>
        </w:rPr>
        <w:t xml:space="preserve"> </w:t>
      </w:r>
      <w:r>
        <w:t>в</w:t>
      </w:r>
      <w:r w:rsidRPr="002E1D3F">
        <w:rPr>
          <w:lang w:val="en-US"/>
        </w:rPr>
        <w:t xml:space="preserve"> </w:t>
      </w:r>
      <w:r>
        <w:t>области</w:t>
      </w:r>
      <w:r w:rsidRPr="002E1D3F">
        <w:rPr>
          <w:lang w:val="en-US"/>
        </w:rPr>
        <w:t xml:space="preserve"> </w:t>
      </w:r>
      <w:r>
        <w:t>стандартных</w:t>
      </w:r>
      <w:r w:rsidRPr="002E1D3F">
        <w:rPr>
          <w:lang w:val="en-US"/>
        </w:rPr>
        <w:t xml:space="preserve"> </w:t>
      </w:r>
      <w:r>
        <w:t>образцов</w:t>
      </w:r>
      <w:r w:rsidRPr="002E1D3F">
        <w:rPr>
          <w:lang w:val="en-US"/>
        </w:rPr>
        <w:t>)</w:t>
      </w:r>
    </w:p>
    <w:p w:rsidR="00000000" w:rsidRPr="002E1D3F" w:rsidRDefault="005829C2">
      <w:pPr>
        <w:pStyle w:val="FORMATTEXT"/>
        <w:ind w:firstLine="568"/>
        <w:jc w:val="both"/>
        <w:rPr>
          <w:lang w:val="en-US"/>
        </w:rPr>
      </w:pPr>
    </w:p>
    <w:p w:rsidR="00000000" w:rsidRDefault="005829C2">
      <w:pPr>
        <w:pStyle w:val="FORMATTEXT"/>
        <w:ind w:firstLine="568"/>
        <w:jc w:val="both"/>
      </w:pPr>
      <w:r w:rsidRPr="002E1D3F">
        <w:rPr>
          <w:lang w:val="en-US"/>
        </w:rPr>
        <w:t>Guide to the expr</w:t>
      </w:r>
      <w:r w:rsidRPr="002E1D3F">
        <w:rPr>
          <w:lang w:val="en-US"/>
        </w:rPr>
        <w:t xml:space="preserve">ession of uncertainty in measurement. </w:t>
      </w:r>
      <w:r>
        <w:t>BIPM, IEC, IFCC, ISO, IUPAC, IUPAP, OIML, 1993</w:t>
      </w:r>
      <w:r w:rsidR="00862BD0">
        <w:rPr>
          <w:noProof/>
          <w:position w:val="-9"/>
        </w:rPr>
        <w:drawing>
          <wp:inline distT="0" distB="0" distL="0" distR="0">
            <wp:extent cx="85725" cy="2190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t xml:space="preserve"> (Руководство по выражению неопределенности в измерениях. МБМВ, МЭК, МФКХ, ИСО, ИЮПАК, ИЮПАП, МОЗМ, 1993) </w:t>
      </w:r>
    </w:p>
    <w:p w:rsidR="00000000" w:rsidRDefault="005829C2">
      <w:pPr>
        <w:pStyle w:val="FORMATTEXT"/>
        <w:jc w:val="both"/>
      </w:pPr>
      <w:r>
        <w:t xml:space="preserve">________________ </w:t>
      </w:r>
    </w:p>
    <w:p w:rsidR="00000000" w:rsidRDefault="00862BD0">
      <w:pPr>
        <w:pStyle w:val="FORMATTEXT"/>
        <w:ind w:firstLine="568"/>
        <w:jc w:val="both"/>
      </w:pPr>
      <w:r>
        <w:rPr>
          <w:noProof/>
          <w:position w:val="-9"/>
        </w:rPr>
        <w:drawing>
          <wp:inline distT="0" distB="0" distL="0" distR="0">
            <wp:extent cx="85725" cy="2190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rsidR="005829C2">
        <w:t>Эта редакция была откорректирована и напечатана в 1995 г.</w:t>
      </w:r>
    </w:p>
    <w:p w:rsidR="00000000" w:rsidRDefault="005829C2">
      <w:pPr>
        <w:pStyle w:val="FORMATTEXT"/>
        <w:ind w:firstLine="568"/>
        <w:jc w:val="both"/>
      </w:pPr>
    </w:p>
    <w:p w:rsidR="00000000" w:rsidRDefault="005829C2">
      <w:pPr>
        <w:pStyle w:val="FORMATTEXT"/>
        <w:ind w:firstLine="568"/>
        <w:jc w:val="both"/>
      </w:pPr>
      <w:r w:rsidRPr="002E1D3F">
        <w:rPr>
          <w:lang w:val="en-US"/>
        </w:rPr>
        <w:t xml:space="preserve">International vocabulary of basic and general terms in metrology. </w:t>
      </w:r>
      <w:r>
        <w:t>BIPM, IEC, IFCC, ISO, IUPAC, IUPAP, OIML, 1993 (Международный словарь основных и общих терминов в метрологии</w:t>
      </w:r>
      <w:r>
        <w:t>. МБМВ, МЭК, МФКХ, ИСО, ИЮПАК, ИЮПАП, МОЗМ)</w:t>
      </w:r>
    </w:p>
    <w:p w:rsidR="00000000" w:rsidRDefault="005829C2">
      <w:pPr>
        <w:pStyle w:val="FORMATTEXT"/>
        <w:ind w:firstLine="568"/>
        <w:jc w:val="both"/>
      </w:pPr>
    </w:p>
    <w:p w:rsidR="00000000" w:rsidRDefault="005829C2">
      <w:pPr>
        <w:pStyle w:val="FORMATTEXT"/>
        <w:ind w:firstLine="568"/>
        <w:jc w:val="both"/>
      </w:pPr>
      <w:r>
        <w:t>Примечание - "Руководство по выражению неопределенности в измерениях" будет в дальнейшем именоваться GUM, а "Международный словарь основных и общих терминов в метрологии" - VIM.</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3 Термины и определения </w:t>
      </w:r>
    </w:p>
    <w:p w:rsidR="00000000" w:rsidRDefault="005829C2">
      <w:pPr>
        <w:pStyle w:val="FORMATTEXT"/>
        <w:ind w:firstLine="568"/>
        <w:jc w:val="both"/>
      </w:pPr>
      <w:r>
        <w:t xml:space="preserve">В настоящем стандарте применены термины и определения, приведенные в ISO 3534-1, ISO </w:t>
      </w:r>
      <w:proofErr w:type="spellStart"/>
      <w:r>
        <w:t>Guide</w:t>
      </w:r>
      <w:proofErr w:type="spellEnd"/>
      <w:r>
        <w:t xml:space="preserve"> 30 и VIM, и некоторые дополнительные термины. Используемые обозначения приведены в разделе 4.</w:t>
      </w:r>
    </w:p>
    <w:p w:rsidR="00000000" w:rsidRDefault="005829C2">
      <w:pPr>
        <w:pStyle w:val="FORMATTEXT"/>
        <w:ind w:firstLine="568"/>
        <w:jc w:val="both"/>
      </w:pPr>
    </w:p>
    <w:p w:rsidR="00000000" w:rsidRDefault="005829C2">
      <w:pPr>
        <w:pStyle w:val="FORMATTEXT"/>
        <w:ind w:firstLine="568"/>
        <w:jc w:val="both"/>
      </w:pPr>
      <w:r>
        <w:t>3.1 </w:t>
      </w:r>
      <w:r>
        <w:rPr>
          <w:b/>
          <w:bCs/>
        </w:rPr>
        <w:t>стандартный образец</w:t>
      </w:r>
      <w:r>
        <w:t xml:space="preserve"> (</w:t>
      </w:r>
      <w:proofErr w:type="spellStart"/>
      <w:r>
        <w:t>reference</w:t>
      </w:r>
      <w:proofErr w:type="spellEnd"/>
      <w:r>
        <w:t xml:space="preserve"> </w:t>
      </w:r>
      <w:proofErr w:type="spellStart"/>
      <w:r>
        <w:t>material</w:t>
      </w:r>
      <w:proofErr w:type="spellEnd"/>
      <w:r>
        <w:t xml:space="preserve">); СО (RM): Материал </w:t>
      </w:r>
      <w:r>
        <w:rPr>
          <w:i/>
          <w:iCs/>
        </w:rPr>
        <w:t>(вещес</w:t>
      </w:r>
      <w:r>
        <w:rPr>
          <w:i/>
          <w:iCs/>
        </w:rPr>
        <w:t>тво),</w:t>
      </w:r>
      <w:r>
        <w:t xml:space="preserve"> достаточно однородный(</w:t>
      </w:r>
      <w:proofErr w:type="spellStart"/>
      <w:r>
        <w:t>ое</w:t>
      </w:r>
      <w:proofErr w:type="spellEnd"/>
      <w:r>
        <w:t>) и стабильный(</w:t>
      </w:r>
      <w:proofErr w:type="spellStart"/>
      <w:r>
        <w:t>ое</w:t>
      </w:r>
      <w:proofErr w:type="spellEnd"/>
      <w:r>
        <w:t>) по отношению к одному или нескольким определенным свойствам, для того чтобы его использовать в соответствии с назначением в измерительном процессе.</w:t>
      </w:r>
    </w:p>
    <w:p w:rsidR="00000000" w:rsidRDefault="005829C2">
      <w:pPr>
        <w:pStyle w:val="FORMATTEXT"/>
        <w:ind w:firstLine="568"/>
        <w:jc w:val="both"/>
      </w:pPr>
    </w:p>
    <w:p w:rsidR="00000000" w:rsidRDefault="005829C2">
      <w:pPr>
        <w:pStyle w:val="FORMATTEXT"/>
        <w:ind w:firstLine="568"/>
        <w:jc w:val="both"/>
      </w:pPr>
      <w:r>
        <w:t>Примечания</w:t>
      </w:r>
    </w:p>
    <w:p w:rsidR="00000000" w:rsidRDefault="005829C2">
      <w:pPr>
        <w:pStyle w:val="FORMATTEXT"/>
        <w:ind w:firstLine="568"/>
        <w:jc w:val="both"/>
      </w:pPr>
    </w:p>
    <w:p w:rsidR="00000000" w:rsidRDefault="005829C2">
      <w:pPr>
        <w:pStyle w:val="FORMATTEXT"/>
        <w:ind w:firstLine="568"/>
        <w:jc w:val="both"/>
      </w:pPr>
      <w:r>
        <w:t>1 Стандартный образец - это общее понятие.</w:t>
      </w:r>
    </w:p>
    <w:p w:rsidR="00000000" w:rsidRDefault="005829C2">
      <w:pPr>
        <w:pStyle w:val="FORMATTEXT"/>
        <w:ind w:firstLine="568"/>
        <w:jc w:val="both"/>
      </w:pPr>
    </w:p>
    <w:p w:rsidR="00000000" w:rsidRDefault="005829C2">
      <w:pPr>
        <w:pStyle w:val="FORMATTEXT"/>
        <w:ind w:firstLine="568"/>
        <w:jc w:val="both"/>
      </w:pPr>
      <w:r>
        <w:t>2 </w:t>
      </w:r>
      <w:r>
        <w:t>Свойства могут быть количественными или качественными (например, идентичность веществ или объектов).</w:t>
      </w:r>
    </w:p>
    <w:p w:rsidR="00000000" w:rsidRDefault="005829C2">
      <w:pPr>
        <w:pStyle w:val="FORMATTEXT"/>
        <w:ind w:firstLine="568"/>
        <w:jc w:val="both"/>
      </w:pPr>
    </w:p>
    <w:p w:rsidR="00000000" w:rsidRDefault="005829C2">
      <w:pPr>
        <w:pStyle w:val="FORMATTEXT"/>
        <w:ind w:firstLine="568"/>
        <w:jc w:val="both"/>
      </w:pPr>
      <w:r>
        <w:t>3 Использование может включать калибровку (градуировку) измерительной системы, оценивание пригодности методики измерений, приписывание значений свойств др</w:t>
      </w:r>
      <w:r>
        <w:t>угим материалам и контроль качества.</w:t>
      </w:r>
    </w:p>
    <w:p w:rsidR="00000000" w:rsidRDefault="005829C2">
      <w:pPr>
        <w:pStyle w:val="FORMATTEXT"/>
        <w:ind w:firstLine="568"/>
        <w:jc w:val="both"/>
      </w:pPr>
    </w:p>
    <w:p w:rsidR="00000000" w:rsidRDefault="005829C2">
      <w:pPr>
        <w:pStyle w:val="FORMATTEXT"/>
        <w:ind w:firstLine="568"/>
        <w:jc w:val="both"/>
      </w:pPr>
      <w:r>
        <w:t xml:space="preserve">4 Один и тот же СО не может использоваться и для калибровки (градуировки), и для </w:t>
      </w:r>
      <w:proofErr w:type="spellStart"/>
      <w:r>
        <w:t>валидации</w:t>
      </w:r>
      <w:proofErr w:type="spellEnd"/>
      <w:r>
        <w:t xml:space="preserve"> результатов в одной и той же методике измерений.</w:t>
      </w:r>
    </w:p>
    <w:p w:rsidR="00000000" w:rsidRDefault="005829C2">
      <w:pPr>
        <w:pStyle w:val="FORMATTEXT"/>
        <w:ind w:firstLine="568"/>
        <w:jc w:val="both"/>
      </w:pPr>
    </w:p>
    <w:p w:rsidR="00000000" w:rsidRDefault="005829C2">
      <w:pPr>
        <w:pStyle w:val="FORMATTEXT"/>
        <w:ind w:firstLine="568"/>
        <w:jc w:val="both"/>
      </w:pPr>
      <w:r>
        <w:t>3.2 </w:t>
      </w:r>
      <w:r>
        <w:rPr>
          <w:b/>
          <w:bCs/>
        </w:rPr>
        <w:t>сертифицированный стандартный образец;</w:t>
      </w:r>
      <w:r>
        <w:t xml:space="preserve"> ССО (аттестованный стандартный обр</w:t>
      </w:r>
      <w:r>
        <w:t>азец, АСО) (</w:t>
      </w:r>
      <w:proofErr w:type="spellStart"/>
      <w:r>
        <w:t>certified</w:t>
      </w:r>
      <w:proofErr w:type="spellEnd"/>
      <w:r>
        <w:t xml:space="preserve"> </w:t>
      </w:r>
      <w:proofErr w:type="spellStart"/>
      <w:r>
        <w:t>reference</w:t>
      </w:r>
      <w:proofErr w:type="spellEnd"/>
      <w:r>
        <w:t xml:space="preserve"> </w:t>
      </w:r>
      <w:proofErr w:type="spellStart"/>
      <w:r>
        <w:t>material</w:t>
      </w:r>
      <w:proofErr w:type="spellEnd"/>
      <w:r>
        <w:t xml:space="preserve">, CRM): Стандартный образец, одно или несколько определенных свойств которого установлены </w:t>
      </w:r>
      <w:proofErr w:type="spellStart"/>
      <w:r>
        <w:t>метрологически</w:t>
      </w:r>
      <w:proofErr w:type="spellEnd"/>
      <w:r>
        <w:t xml:space="preserve"> обоснованной процедурой, сопровождаемый сертификатом (паспортом), в котором приведены значение этого свойства, </w:t>
      </w:r>
      <w:r>
        <w:t xml:space="preserve">связанной с ним неопределенности и утверждение о метрологической </w:t>
      </w:r>
      <w:proofErr w:type="spellStart"/>
      <w:r>
        <w:t>прослеживаемости</w:t>
      </w:r>
      <w:proofErr w:type="spellEnd"/>
      <w:r>
        <w:t>.</w:t>
      </w:r>
    </w:p>
    <w:p w:rsidR="00000000" w:rsidRDefault="005829C2">
      <w:pPr>
        <w:pStyle w:val="FORMATTEXT"/>
        <w:ind w:firstLine="568"/>
        <w:jc w:val="both"/>
      </w:pPr>
    </w:p>
    <w:p w:rsidR="00000000" w:rsidRDefault="005829C2">
      <w:pPr>
        <w:pStyle w:val="FORMATTEXT"/>
        <w:ind w:firstLine="568"/>
        <w:jc w:val="both"/>
      </w:pPr>
      <w:r>
        <w:lastRenderedPageBreak/>
        <w:t>Примечания</w:t>
      </w:r>
    </w:p>
    <w:p w:rsidR="00000000" w:rsidRDefault="005829C2">
      <w:pPr>
        <w:pStyle w:val="FORMATTEXT"/>
        <w:ind w:firstLine="568"/>
        <w:jc w:val="both"/>
      </w:pPr>
    </w:p>
    <w:p w:rsidR="00000000" w:rsidRDefault="005829C2">
      <w:pPr>
        <w:pStyle w:val="FORMATTEXT"/>
        <w:ind w:firstLine="568"/>
        <w:jc w:val="both"/>
      </w:pPr>
      <w:r>
        <w:t xml:space="preserve">1 Значения могут быть выражены и как качественные характеристики, такие как идентичность или последовательность. Неопределенности для таких характеристик могут </w:t>
      </w:r>
      <w:r>
        <w:t>быть выражены как вероятности.</w:t>
      </w:r>
    </w:p>
    <w:p w:rsidR="00000000" w:rsidRDefault="005829C2">
      <w:pPr>
        <w:pStyle w:val="FORMATTEXT"/>
        <w:ind w:firstLine="568"/>
        <w:jc w:val="both"/>
      </w:pPr>
    </w:p>
    <w:p w:rsidR="00000000" w:rsidRDefault="005829C2">
      <w:pPr>
        <w:pStyle w:val="FORMATTEXT"/>
        <w:ind w:firstLine="568"/>
        <w:jc w:val="both"/>
      </w:pPr>
      <w:r>
        <w:t>2 </w:t>
      </w:r>
      <w:proofErr w:type="spellStart"/>
      <w:r>
        <w:t>Метрологически</w:t>
      </w:r>
      <w:proofErr w:type="spellEnd"/>
      <w:r>
        <w:t xml:space="preserve"> обоснованные процедуры производства и сертификации (аттестации) СО описаны в том числе в ISO </w:t>
      </w:r>
      <w:proofErr w:type="spellStart"/>
      <w:r>
        <w:t>Guide</w:t>
      </w:r>
      <w:proofErr w:type="spellEnd"/>
      <w:r>
        <w:t xml:space="preserve"> 34 [2] и настоящем стандарте.</w:t>
      </w:r>
    </w:p>
    <w:p w:rsidR="00000000" w:rsidRDefault="005829C2">
      <w:pPr>
        <w:pStyle w:val="FORMATTEXT"/>
        <w:ind w:firstLine="568"/>
        <w:jc w:val="both"/>
      </w:pPr>
    </w:p>
    <w:p w:rsidR="00000000" w:rsidRDefault="005829C2">
      <w:pPr>
        <w:pStyle w:val="FORMATTEXT"/>
        <w:ind w:firstLine="568"/>
        <w:jc w:val="both"/>
      </w:pPr>
      <w:r>
        <w:t xml:space="preserve">3 В ISO </w:t>
      </w:r>
      <w:proofErr w:type="spellStart"/>
      <w:r>
        <w:t>Guide</w:t>
      </w:r>
      <w:proofErr w:type="spellEnd"/>
      <w:r>
        <w:t xml:space="preserve"> 31 [4] даны рекомендации по содержанию сертификатов (паспортов)</w:t>
      </w:r>
      <w:r>
        <w:t>.</w:t>
      </w:r>
    </w:p>
    <w:p w:rsidR="00000000" w:rsidRDefault="005829C2">
      <w:pPr>
        <w:pStyle w:val="FORMATTEXT"/>
        <w:ind w:firstLine="568"/>
        <w:jc w:val="both"/>
      </w:pPr>
    </w:p>
    <w:p w:rsidR="00000000" w:rsidRDefault="005829C2">
      <w:pPr>
        <w:pStyle w:val="FORMATTEXT"/>
        <w:ind w:firstLine="568"/>
        <w:jc w:val="both"/>
      </w:pPr>
      <w:r>
        <w:t>3.3 </w:t>
      </w:r>
      <w:r>
        <w:rPr>
          <w:b/>
          <w:bCs/>
        </w:rPr>
        <w:t>значение параметров</w:t>
      </w:r>
      <w:r w:rsidR="00862BD0">
        <w:rPr>
          <w:noProof/>
          <w:position w:val="-9"/>
        </w:rPr>
        <w:drawing>
          <wp:inline distT="0" distB="0" distL="0" distR="0">
            <wp:extent cx="85725" cy="219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t xml:space="preserve"> (стандартного образца) [</w:t>
      </w:r>
      <w:proofErr w:type="spellStart"/>
      <w:r>
        <w:t>property</w:t>
      </w:r>
      <w:proofErr w:type="spellEnd"/>
      <w:r>
        <w:t xml:space="preserve"> </w:t>
      </w:r>
      <w:proofErr w:type="spellStart"/>
      <w:r>
        <w:t>value</w:t>
      </w:r>
      <w:proofErr w:type="spellEnd"/>
      <w:r>
        <w:t xml:space="preserve"> (</w:t>
      </w:r>
      <w:proofErr w:type="spellStart"/>
      <w:r>
        <w:t>of</w:t>
      </w:r>
      <w:proofErr w:type="spellEnd"/>
      <w:r>
        <w:t xml:space="preserve"> a </w:t>
      </w:r>
      <w:proofErr w:type="spellStart"/>
      <w:r>
        <w:t>reference</w:t>
      </w:r>
      <w:proofErr w:type="spellEnd"/>
      <w:r>
        <w:t xml:space="preserve"> </w:t>
      </w:r>
      <w:proofErr w:type="spellStart"/>
      <w:r>
        <w:t>material</w:t>
      </w:r>
      <w:proofErr w:type="spellEnd"/>
      <w:r>
        <w:t>)]: Значение, приписываемое величине, представляющей физическое, химическое или биологическое свойство [сертифицированного (аттесто</w:t>
      </w:r>
      <w:r>
        <w:t xml:space="preserve">ванного)] CO. </w:t>
      </w:r>
    </w:p>
    <w:p w:rsidR="00000000" w:rsidRDefault="005829C2">
      <w:pPr>
        <w:pStyle w:val="FORMATTEXT"/>
        <w:jc w:val="both"/>
      </w:pPr>
      <w:r>
        <w:t xml:space="preserve">________________ </w:t>
      </w:r>
    </w:p>
    <w:p w:rsidR="00000000" w:rsidRDefault="00862BD0">
      <w:pPr>
        <w:pStyle w:val="FORMATTEXT"/>
        <w:ind w:firstLine="568"/>
        <w:jc w:val="both"/>
      </w:pPr>
      <w:r>
        <w:rPr>
          <w:noProof/>
          <w:position w:val="-9"/>
        </w:rPr>
        <w:drawing>
          <wp:inline distT="0" distB="0" distL="0" distR="0">
            <wp:extent cx="85725" cy="219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rsidR="005829C2">
        <w:t>Под значением параметра (стандартного образца) здесь и по тексту документа понимается значение сертифицируемой (аттестуемой) характеристики (стандартного образца).</w:t>
      </w:r>
    </w:p>
    <w:p w:rsidR="00000000" w:rsidRDefault="005829C2">
      <w:pPr>
        <w:pStyle w:val="FORMATTEXT"/>
        <w:ind w:firstLine="568"/>
        <w:jc w:val="both"/>
      </w:pPr>
    </w:p>
    <w:p w:rsidR="00000000" w:rsidRDefault="005829C2">
      <w:pPr>
        <w:pStyle w:val="FORMATTEXT"/>
        <w:ind w:firstLine="568"/>
        <w:jc w:val="both"/>
      </w:pPr>
      <w:r>
        <w:t>3.4 </w:t>
      </w:r>
      <w:proofErr w:type="spellStart"/>
      <w:r>
        <w:rPr>
          <w:b/>
          <w:bCs/>
        </w:rPr>
        <w:t>характеризация</w:t>
      </w:r>
      <w:proofErr w:type="spellEnd"/>
      <w:r>
        <w:t xml:space="preserve"> (</w:t>
      </w:r>
      <w:proofErr w:type="spellStart"/>
      <w:r>
        <w:t>ch</w:t>
      </w:r>
      <w:r>
        <w:t>aracterization</w:t>
      </w:r>
      <w:proofErr w:type="spellEnd"/>
      <w:r>
        <w:t>) (для СО): Процедура определения значений свойств СО как часть процесса сертификации (аттестации).</w:t>
      </w:r>
    </w:p>
    <w:p w:rsidR="00000000" w:rsidRDefault="005829C2">
      <w:pPr>
        <w:pStyle w:val="FORMATTEXT"/>
        <w:ind w:firstLine="568"/>
        <w:jc w:val="both"/>
      </w:pPr>
    </w:p>
    <w:p w:rsidR="00000000" w:rsidRDefault="005829C2">
      <w:pPr>
        <w:pStyle w:val="FORMATTEXT"/>
        <w:ind w:firstLine="568"/>
        <w:jc w:val="both"/>
      </w:pPr>
      <w:r>
        <w:t>Примечания</w:t>
      </w:r>
    </w:p>
    <w:p w:rsidR="00000000" w:rsidRDefault="005829C2">
      <w:pPr>
        <w:pStyle w:val="FORMATTEXT"/>
        <w:ind w:firstLine="568"/>
        <w:jc w:val="both"/>
      </w:pPr>
    </w:p>
    <w:p w:rsidR="00000000" w:rsidRDefault="005829C2">
      <w:pPr>
        <w:pStyle w:val="FORMATTEXT"/>
        <w:ind w:firstLine="568"/>
        <w:jc w:val="both"/>
      </w:pPr>
      <w:r>
        <w:t xml:space="preserve">1 В ходе процесса </w:t>
      </w:r>
      <w:proofErr w:type="spellStart"/>
      <w:r>
        <w:t>характеризации</w:t>
      </w:r>
      <w:proofErr w:type="spellEnd"/>
      <w:r>
        <w:t xml:space="preserve"> получают значения свойств, подлежащих количественному измерению.</w:t>
      </w:r>
    </w:p>
    <w:p w:rsidR="00000000" w:rsidRDefault="005829C2">
      <w:pPr>
        <w:pStyle w:val="FORMATTEXT"/>
        <w:ind w:firstLine="568"/>
        <w:jc w:val="both"/>
      </w:pPr>
    </w:p>
    <w:p w:rsidR="00000000" w:rsidRDefault="005829C2">
      <w:pPr>
        <w:pStyle w:val="FORMATTEXT"/>
        <w:ind w:firstLine="568"/>
        <w:jc w:val="both"/>
      </w:pPr>
      <w:r>
        <w:t>2 При сертификации (аттестации</w:t>
      </w:r>
      <w:r>
        <w:t xml:space="preserve">) партии </w:t>
      </w:r>
      <w:proofErr w:type="spellStart"/>
      <w:r>
        <w:t>характеризация</w:t>
      </w:r>
      <w:proofErr w:type="spellEnd"/>
      <w:r>
        <w:t xml:space="preserve"> относится к значениям свойств всей партии.</w:t>
      </w:r>
    </w:p>
    <w:p w:rsidR="00000000" w:rsidRDefault="005829C2">
      <w:pPr>
        <w:pStyle w:val="FORMATTEXT"/>
        <w:ind w:firstLine="568"/>
        <w:jc w:val="both"/>
      </w:pPr>
    </w:p>
    <w:p w:rsidR="00000000" w:rsidRDefault="005829C2">
      <w:pPr>
        <w:pStyle w:val="FORMATTEXT"/>
        <w:ind w:firstLine="568"/>
        <w:jc w:val="both"/>
      </w:pPr>
      <w:r>
        <w:t>3.5 </w:t>
      </w:r>
      <w:proofErr w:type="spellStart"/>
      <w:r>
        <w:rPr>
          <w:b/>
          <w:bCs/>
        </w:rPr>
        <w:t>межэкземплярная</w:t>
      </w:r>
      <w:proofErr w:type="spellEnd"/>
      <w:r>
        <w:rPr>
          <w:b/>
          <w:bCs/>
        </w:rPr>
        <w:t xml:space="preserve"> однородность</w:t>
      </w:r>
      <w:r>
        <w:t xml:space="preserve"> (</w:t>
      </w:r>
      <w:proofErr w:type="spellStart"/>
      <w:r>
        <w:t>between-bottle</w:t>
      </w:r>
      <w:proofErr w:type="spellEnd"/>
      <w:r>
        <w:t xml:space="preserve"> </w:t>
      </w:r>
      <w:proofErr w:type="spellStart"/>
      <w:r>
        <w:t>homogeneity</w:t>
      </w:r>
      <w:proofErr w:type="spellEnd"/>
      <w:r>
        <w:t>): Постоянство одного или нескольких определенных свойств в разных экземплярах СО.</w:t>
      </w:r>
    </w:p>
    <w:p w:rsidR="00000000" w:rsidRDefault="005829C2">
      <w:pPr>
        <w:pStyle w:val="FORMATTEXT"/>
        <w:ind w:firstLine="568"/>
        <w:jc w:val="both"/>
      </w:pPr>
    </w:p>
    <w:p w:rsidR="00000000" w:rsidRDefault="005829C2">
      <w:pPr>
        <w:pStyle w:val="FORMATTEXT"/>
        <w:ind w:firstLine="568"/>
        <w:jc w:val="both"/>
      </w:pPr>
      <w:r>
        <w:t>Примечание - Термин "</w:t>
      </w:r>
      <w:proofErr w:type="spellStart"/>
      <w:r>
        <w:t>межэкземплярная</w:t>
      </w:r>
      <w:proofErr w:type="spellEnd"/>
      <w:r>
        <w:t xml:space="preserve"> однород</w:t>
      </w:r>
      <w:r>
        <w:t xml:space="preserve">ность" используют для разных видов упаковки (например, пробирок, пузырьков, ампул, флаконов, бутылок и т.п.) и </w:t>
      </w:r>
      <w:proofErr w:type="gramStart"/>
      <w:r>
        <w:t>других геометрических форм</w:t>
      </w:r>
      <w:proofErr w:type="gramEnd"/>
      <w:r>
        <w:t xml:space="preserve"> исследуемых СО.</w:t>
      </w:r>
    </w:p>
    <w:p w:rsidR="00000000" w:rsidRDefault="005829C2">
      <w:pPr>
        <w:pStyle w:val="FORMATTEXT"/>
        <w:ind w:firstLine="568"/>
        <w:jc w:val="both"/>
      </w:pPr>
    </w:p>
    <w:p w:rsidR="00000000" w:rsidRDefault="005829C2">
      <w:pPr>
        <w:pStyle w:val="FORMATTEXT"/>
        <w:ind w:firstLine="568"/>
        <w:jc w:val="both"/>
      </w:pPr>
      <w:r>
        <w:t>3.6 </w:t>
      </w:r>
      <w:proofErr w:type="spellStart"/>
      <w:r>
        <w:rPr>
          <w:b/>
          <w:bCs/>
        </w:rPr>
        <w:t>внутриэкземплярная</w:t>
      </w:r>
      <w:proofErr w:type="spellEnd"/>
      <w:r>
        <w:rPr>
          <w:b/>
          <w:bCs/>
        </w:rPr>
        <w:t xml:space="preserve"> однородность</w:t>
      </w:r>
      <w:r>
        <w:t xml:space="preserve"> (</w:t>
      </w:r>
      <w:proofErr w:type="spellStart"/>
      <w:r>
        <w:t>within-bottle</w:t>
      </w:r>
      <w:proofErr w:type="spellEnd"/>
      <w:r>
        <w:t xml:space="preserve"> </w:t>
      </w:r>
      <w:proofErr w:type="spellStart"/>
      <w:r>
        <w:t>homogeneity</w:t>
      </w:r>
      <w:proofErr w:type="spellEnd"/>
      <w:r>
        <w:t>): Однородность материала СО в одном эк</w:t>
      </w:r>
      <w:r>
        <w:t>земпляре.</w:t>
      </w:r>
    </w:p>
    <w:p w:rsidR="00000000" w:rsidRDefault="005829C2">
      <w:pPr>
        <w:pStyle w:val="FORMATTEXT"/>
        <w:ind w:firstLine="568"/>
        <w:jc w:val="both"/>
      </w:pPr>
    </w:p>
    <w:p w:rsidR="00000000" w:rsidRDefault="005829C2">
      <w:pPr>
        <w:pStyle w:val="FORMATTEXT"/>
        <w:ind w:firstLine="568"/>
        <w:jc w:val="both"/>
      </w:pPr>
      <w:r>
        <w:t>3.7 </w:t>
      </w:r>
      <w:r>
        <w:rPr>
          <w:b/>
          <w:bCs/>
        </w:rPr>
        <w:t>смешивание</w:t>
      </w:r>
      <w:r>
        <w:t xml:space="preserve"> (</w:t>
      </w:r>
      <w:proofErr w:type="spellStart"/>
      <w:r>
        <w:t>blending</w:t>
      </w:r>
      <w:proofErr w:type="spellEnd"/>
      <w:r>
        <w:t>): Изготовление смеси из двух или нескольких матричных материалов для получения материала с определенными свойствами.</w:t>
      </w:r>
    </w:p>
    <w:p w:rsidR="00000000" w:rsidRDefault="005829C2">
      <w:pPr>
        <w:pStyle w:val="FORMATTEXT"/>
        <w:ind w:firstLine="568"/>
        <w:jc w:val="both"/>
      </w:pPr>
    </w:p>
    <w:p w:rsidR="00000000" w:rsidRDefault="005829C2">
      <w:pPr>
        <w:pStyle w:val="FORMATTEXT"/>
        <w:ind w:firstLine="568"/>
        <w:jc w:val="both"/>
      </w:pPr>
      <w:r>
        <w:t>3.8 </w:t>
      </w:r>
      <w:r>
        <w:rPr>
          <w:b/>
          <w:bCs/>
        </w:rPr>
        <w:t>матричный материал</w:t>
      </w:r>
      <w:r>
        <w:t xml:space="preserve"> (</w:t>
      </w:r>
      <w:proofErr w:type="spellStart"/>
      <w:r>
        <w:t>matrix</w:t>
      </w:r>
      <w:proofErr w:type="spellEnd"/>
      <w:r>
        <w:t xml:space="preserve"> </w:t>
      </w:r>
      <w:proofErr w:type="spellStart"/>
      <w:r>
        <w:t>material</w:t>
      </w:r>
      <w:proofErr w:type="spellEnd"/>
      <w:r>
        <w:t>): Материал, отобранный из окружающей среды, промышленного прои</w:t>
      </w:r>
      <w:r>
        <w:t>зводства или в ином месте.</w:t>
      </w:r>
    </w:p>
    <w:p w:rsidR="00000000" w:rsidRDefault="005829C2">
      <w:pPr>
        <w:pStyle w:val="FORMATTEXT"/>
        <w:ind w:firstLine="568"/>
        <w:jc w:val="both"/>
      </w:pPr>
    </w:p>
    <w:p w:rsidR="00000000" w:rsidRDefault="005829C2">
      <w:pPr>
        <w:pStyle w:val="FORMATTEXT"/>
        <w:ind w:firstLine="568"/>
        <w:jc w:val="both"/>
      </w:pPr>
      <w:r>
        <w:rPr>
          <w:b/>
          <w:bCs/>
          <w:i/>
          <w:iCs/>
        </w:rPr>
        <w:t>Примеры</w:t>
      </w:r>
      <w:r>
        <w:t xml:space="preserve"> - </w:t>
      </w:r>
      <w:r>
        <w:rPr>
          <w:b/>
          <w:bCs/>
          <w:i/>
          <w:iCs/>
        </w:rPr>
        <w:t>Почва, питьевая вода, воздух.</w:t>
      </w:r>
    </w:p>
    <w:p w:rsidR="00000000" w:rsidRDefault="005829C2">
      <w:pPr>
        <w:pStyle w:val="FORMATTEXT"/>
        <w:ind w:firstLine="568"/>
        <w:jc w:val="both"/>
      </w:pPr>
    </w:p>
    <w:p w:rsidR="00000000" w:rsidRDefault="005829C2">
      <w:pPr>
        <w:pStyle w:val="FORMATTEXT"/>
        <w:ind w:firstLine="568"/>
        <w:jc w:val="both"/>
      </w:pPr>
      <w:r>
        <w:t>3.9 </w:t>
      </w:r>
      <w:r>
        <w:rPr>
          <w:b/>
          <w:bCs/>
        </w:rPr>
        <w:t>добавка</w:t>
      </w:r>
      <w:r>
        <w:t xml:space="preserve"> (</w:t>
      </w:r>
      <w:proofErr w:type="spellStart"/>
      <w:r>
        <w:t>spiking</w:t>
      </w:r>
      <w:proofErr w:type="spellEnd"/>
      <w:r>
        <w:t>): Добавление известного количества соединения или элемента к матричному материалу.</w:t>
      </w:r>
    </w:p>
    <w:p w:rsidR="00000000" w:rsidRDefault="005829C2">
      <w:pPr>
        <w:pStyle w:val="FORMATTEXT"/>
        <w:ind w:firstLine="568"/>
        <w:jc w:val="both"/>
      </w:pPr>
    </w:p>
    <w:p w:rsidR="00000000" w:rsidRDefault="005829C2">
      <w:pPr>
        <w:pStyle w:val="FORMATTEXT"/>
        <w:ind w:firstLine="568"/>
        <w:jc w:val="both"/>
      </w:pPr>
      <w:r>
        <w:t>3.10 </w:t>
      </w:r>
      <w:r>
        <w:rPr>
          <w:b/>
          <w:bCs/>
        </w:rPr>
        <w:t>кратковременная стабильность</w:t>
      </w:r>
      <w:r>
        <w:t xml:space="preserve"> (</w:t>
      </w:r>
      <w:proofErr w:type="spellStart"/>
      <w:r>
        <w:t>short-term</w:t>
      </w:r>
      <w:proofErr w:type="spellEnd"/>
      <w:r>
        <w:t xml:space="preserve"> </w:t>
      </w:r>
      <w:proofErr w:type="spellStart"/>
      <w:r>
        <w:t>stability</w:t>
      </w:r>
      <w:proofErr w:type="spellEnd"/>
      <w:r>
        <w:t>): Стабильность установленн</w:t>
      </w:r>
      <w:r>
        <w:t>ого значения свойства СО во время его транспортирования при определенных условиях.</w:t>
      </w:r>
    </w:p>
    <w:p w:rsidR="00000000" w:rsidRDefault="005829C2">
      <w:pPr>
        <w:pStyle w:val="FORMATTEXT"/>
        <w:ind w:firstLine="568"/>
        <w:jc w:val="both"/>
      </w:pPr>
    </w:p>
    <w:p w:rsidR="00000000" w:rsidRDefault="005829C2">
      <w:pPr>
        <w:pStyle w:val="FORMATTEXT"/>
        <w:ind w:firstLine="568"/>
        <w:jc w:val="both"/>
      </w:pPr>
      <w:r>
        <w:t>3.11 </w:t>
      </w:r>
      <w:r>
        <w:rPr>
          <w:b/>
          <w:bCs/>
        </w:rPr>
        <w:t>долговременная стабильность</w:t>
      </w:r>
      <w:r>
        <w:t xml:space="preserve"> (</w:t>
      </w:r>
      <w:proofErr w:type="spellStart"/>
      <w:r>
        <w:t>long-term</w:t>
      </w:r>
      <w:proofErr w:type="spellEnd"/>
      <w:r>
        <w:t xml:space="preserve"> </w:t>
      </w:r>
      <w:proofErr w:type="spellStart"/>
      <w:r>
        <w:t>stability</w:t>
      </w:r>
      <w:proofErr w:type="spellEnd"/>
      <w:r>
        <w:t>): Стабильность установленного значения свойства СО в условиях хранения, определенных изготовителем СО.</w:t>
      </w:r>
    </w:p>
    <w:p w:rsidR="00000000" w:rsidRDefault="005829C2">
      <w:pPr>
        <w:pStyle w:val="FORMATTEXT"/>
        <w:ind w:firstLine="568"/>
        <w:jc w:val="both"/>
      </w:pPr>
    </w:p>
    <w:p w:rsidR="00000000" w:rsidRDefault="005829C2">
      <w:pPr>
        <w:pStyle w:val="FORMATTEXT"/>
        <w:ind w:firstLine="568"/>
        <w:jc w:val="both"/>
      </w:pPr>
      <w:r>
        <w:t>3.12 </w:t>
      </w:r>
      <w:r>
        <w:rPr>
          <w:b/>
          <w:bCs/>
        </w:rPr>
        <w:t>срок служ</w:t>
      </w:r>
      <w:r>
        <w:rPr>
          <w:b/>
          <w:bCs/>
        </w:rPr>
        <w:t>бы (стандартного образца)</w:t>
      </w:r>
      <w:r>
        <w:t xml:space="preserve"> (</w:t>
      </w:r>
      <w:proofErr w:type="spellStart"/>
      <w:r>
        <w:t>life</w:t>
      </w:r>
      <w:proofErr w:type="spellEnd"/>
      <w:r>
        <w:t xml:space="preserve"> </w:t>
      </w:r>
      <w:proofErr w:type="spellStart"/>
      <w:r>
        <w:t>time</w:t>
      </w:r>
      <w:proofErr w:type="spellEnd"/>
      <w:r>
        <w:t xml:space="preserve"> (</w:t>
      </w:r>
      <w:proofErr w:type="spellStart"/>
      <w:r>
        <w:t>of</w:t>
      </w:r>
      <w:proofErr w:type="spellEnd"/>
      <w:r>
        <w:t xml:space="preserve"> a </w:t>
      </w:r>
      <w:proofErr w:type="spellStart"/>
      <w:r>
        <w:t>reference</w:t>
      </w:r>
      <w:proofErr w:type="spellEnd"/>
      <w:r>
        <w:t xml:space="preserve"> </w:t>
      </w:r>
      <w:proofErr w:type="spellStart"/>
      <w:r>
        <w:t>material</w:t>
      </w:r>
      <w:proofErr w:type="spellEnd"/>
      <w:r>
        <w:t>): Временной интервал, в течение которого СО может быть использован</w:t>
      </w:r>
      <w:r w:rsidR="00862BD0">
        <w:rPr>
          <w:noProof/>
          <w:position w:val="-9"/>
        </w:rPr>
        <w:drawing>
          <wp:inline distT="0" distB="0" distL="0" distR="0">
            <wp:extent cx="85725" cy="21907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t xml:space="preserve">. </w:t>
      </w:r>
    </w:p>
    <w:p w:rsidR="00000000" w:rsidRDefault="005829C2">
      <w:pPr>
        <w:pStyle w:val="FORMATTEXT"/>
        <w:jc w:val="both"/>
      </w:pPr>
      <w:r>
        <w:t xml:space="preserve">________________ </w:t>
      </w:r>
    </w:p>
    <w:p w:rsidR="00000000" w:rsidRDefault="00862BD0">
      <w:pPr>
        <w:pStyle w:val="FORMATTEXT"/>
        <w:ind w:firstLine="568"/>
        <w:jc w:val="both"/>
      </w:pPr>
      <w:r>
        <w:rPr>
          <w:noProof/>
          <w:position w:val="-9"/>
        </w:rPr>
        <w:drawing>
          <wp:inline distT="0" distB="0" distL="0" distR="0">
            <wp:extent cx="85725" cy="21907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rsidR="005829C2">
        <w:t>Временной интервал, в течение которог</w:t>
      </w:r>
      <w:r w:rsidR="005829C2">
        <w:t>о СО может быть использован после вскрытия упаковки.</w:t>
      </w:r>
    </w:p>
    <w:p w:rsidR="00000000" w:rsidRDefault="005829C2">
      <w:pPr>
        <w:pStyle w:val="FORMATTEXT"/>
        <w:ind w:firstLine="568"/>
        <w:jc w:val="both"/>
      </w:pPr>
    </w:p>
    <w:p w:rsidR="00000000" w:rsidRDefault="005829C2">
      <w:pPr>
        <w:pStyle w:val="FORMATTEXT"/>
        <w:ind w:firstLine="568"/>
        <w:jc w:val="both"/>
      </w:pPr>
      <w:r>
        <w:lastRenderedPageBreak/>
        <w:t>3.13 </w:t>
      </w:r>
      <w:r>
        <w:rPr>
          <w:b/>
          <w:bCs/>
        </w:rPr>
        <w:t>срок годности</w:t>
      </w:r>
      <w:r>
        <w:t xml:space="preserve"> (</w:t>
      </w:r>
      <w:proofErr w:type="spellStart"/>
      <w:r>
        <w:t>shelf-life</w:t>
      </w:r>
      <w:proofErr w:type="spellEnd"/>
      <w:r>
        <w:t>) [СО/ССО(АСО)]: Временной интервал, в течение которого изготовитель СО гарантирует его стабильность.</w:t>
      </w:r>
    </w:p>
    <w:p w:rsidR="00000000" w:rsidRDefault="005829C2">
      <w:pPr>
        <w:pStyle w:val="FORMATTEXT"/>
        <w:ind w:firstLine="568"/>
        <w:jc w:val="both"/>
      </w:pPr>
    </w:p>
    <w:p w:rsidR="00000000" w:rsidRDefault="005829C2">
      <w:pPr>
        <w:pStyle w:val="FORMATTEXT"/>
        <w:ind w:firstLine="568"/>
        <w:jc w:val="both"/>
      </w:pPr>
      <w:r>
        <w:t xml:space="preserve">Примечание - Как описано в ISO </w:t>
      </w:r>
      <w:proofErr w:type="spellStart"/>
      <w:r>
        <w:t>Guide</w:t>
      </w:r>
      <w:proofErr w:type="spellEnd"/>
      <w:r>
        <w:t xml:space="preserve"> 31, срок годности равен сроку де</w:t>
      </w:r>
      <w:r>
        <w:t>йствия сертификата (паспорта) СО.</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4 Обозначения </w:t>
      </w:r>
    </w:p>
    <w:p w:rsidR="00000000" w:rsidRDefault="005829C2">
      <w:pPr>
        <w:pStyle w:val="FORMATTEXT"/>
        <w:ind w:firstLine="568"/>
        <w:jc w:val="both"/>
      </w:pPr>
      <w:r>
        <w:rPr>
          <w:i/>
          <w:iCs/>
        </w:rPr>
        <w:t>A</w:t>
      </w:r>
      <w:r w:rsidR="00862BD0">
        <w:rPr>
          <w:noProof/>
          <w:position w:val="-10"/>
        </w:rPr>
        <w:drawing>
          <wp:inline distT="0" distB="0" distL="0" distR="0">
            <wp:extent cx="85725" cy="22860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t> - оценка смещения (ANOVA)</w:t>
      </w:r>
    </w:p>
    <w:p w:rsidR="00000000" w:rsidRDefault="005829C2">
      <w:pPr>
        <w:pStyle w:val="FORMATTEXT"/>
        <w:ind w:firstLine="568"/>
        <w:jc w:val="both"/>
      </w:pPr>
    </w:p>
    <w:p w:rsidR="00000000" w:rsidRDefault="005829C2">
      <w:pPr>
        <w:pStyle w:val="FORMATTEXT"/>
        <w:ind w:firstLine="568"/>
        <w:jc w:val="both"/>
      </w:pPr>
      <w:r>
        <w:rPr>
          <w:i/>
          <w:iCs/>
        </w:rPr>
        <w:t>А</w:t>
      </w:r>
      <w:r>
        <w:t> - число групп (ANOVA)</w:t>
      </w:r>
    </w:p>
    <w:p w:rsidR="00000000" w:rsidRDefault="005829C2">
      <w:pPr>
        <w:pStyle w:val="FORMATTEXT"/>
        <w:ind w:firstLine="568"/>
        <w:jc w:val="both"/>
      </w:pPr>
    </w:p>
    <w:p w:rsidR="00000000" w:rsidRDefault="005829C2">
      <w:pPr>
        <w:pStyle w:val="FORMATTEXT"/>
        <w:ind w:firstLine="568"/>
        <w:jc w:val="both"/>
      </w:pPr>
      <w:r>
        <w:rPr>
          <w:i/>
          <w:iCs/>
        </w:rPr>
        <w:t>B</w:t>
      </w:r>
      <w:r w:rsidR="00862BD0">
        <w:rPr>
          <w:noProof/>
          <w:position w:val="-10"/>
        </w:rPr>
        <w:drawing>
          <wp:inline distT="0" distB="0" distL="0" distR="0">
            <wp:extent cx="85725" cy="228600"/>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t> - оценка смещения (ANOVA)</w:t>
      </w:r>
    </w:p>
    <w:p w:rsidR="00000000" w:rsidRDefault="005829C2">
      <w:pPr>
        <w:pStyle w:val="FORMATTEXT"/>
        <w:ind w:firstLine="568"/>
        <w:jc w:val="both"/>
      </w:pPr>
    </w:p>
    <w:p w:rsidR="00000000" w:rsidRDefault="005829C2">
      <w:pPr>
        <w:pStyle w:val="FORMATTEXT"/>
        <w:ind w:firstLine="568"/>
        <w:jc w:val="both"/>
      </w:pPr>
      <w:r>
        <w:rPr>
          <w:i/>
          <w:iCs/>
        </w:rPr>
        <w:t>b</w:t>
      </w:r>
      <w:r>
        <w:t> - число подгрупп (ANOVA)</w:t>
      </w:r>
    </w:p>
    <w:p w:rsidR="00000000" w:rsidRDefault="005829C2">
      <w:pPr>
        <w:pStyle w:val="FORMATTEXT"/>
        <w:ind w:firstLine="568"/>
        <w:jc w:val="both"/>
      </w:pPr>
    </w:p>
    <w:p w:rsidR="00000000" w:rsidRDefault="00862BD0">
      <w:pPr>
        <w:pStyle w:val="FORMATTEXT"/>
        <w:ind w:firstLine="568"/>
        <w:jc w:val="both"/>
      </w:pPr>
      <w:r>
        <w:rPr>
          <w:noProof/>
          <w:position w:val="-6"/>
        </w:rPr>
        <w:drawing>
          <wp:inline distT="0" distB="0" distL="0" distR="0">
            <wp:extent cx="114300" cy="14287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rsidR="005829C2">
        <w:t>- оценка погрешности</w:t>
      </w:r>
      <w:r>
        <w:rPr>
          <w:noProof/>
          <w:position w:val="-9"/>
        </w:rPr>
        <w:drawing>
          <wp:inline distT="0" distB="0" distL="0" distR="0">
            <wp:extent cx="85725" cy="21907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rsidR="005829C2">
        <w:t xml:space="preserve"> (ANOVA) </w:t>
      </w:r>
    </w:p>
    <w:p w:rsidR="00000000" w:rsidRDefault="005829C2">
      <w:pPr>
        <w:pStyle w:val="FORMATTEXT"/>
        <w:jc w:val="both"/>
      </w:pPr>
      <w:r>
        <w:t xml:space="preserve">________________ </w:t>
      </w:r>
    </w:p>
    <w:p w:rsidR="00000000" w:rsidRDefault="00862BD0">
      <w:pPr>
        <w:pStyle w:val="FORMATTEXT"/>
        <w:ind w:firstLine="568"/>
        <w:jc w:val="both"/>
      </w:pPr>
      <w:r>
        <w:rPr>
          <w:noProof/>
          <w:position w:val="-9"/>
        </w:rPr>
        <w:drawing>
          <wp:inline distT="0" distB="0" distL="0" distR="0">
            <wp:extent cx="85725" cy="21907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rsidR="005829C2">
        <w:t>В тексте настоящего стандарта термин "оценка погрешности" используется в строго статистическом смысле, т.е. разность между наблюдаемым значением и его математическим ожиданием</w:t>
      </w:r>
      <w:r w:rsidR="005829C2">
        <w:t>.</w:t>
      </w:r>
    </w:p>
    <w:p w:rsidR="00000000" w:rsidRDefault="005829C2">
      <w:pPr>
        <w:pStyle w:val="FORMATTEXT"/>
        <w:ind w:firstLine="568"/>
        <w:jc w:val="both"/>
      </w:pPr>
    </w:p>
    <w:p w:rsidR="00000000" w:rsidRDefault="005829C2">
      <w:pPr>
        <w:pStyle w:val="FORMATTEXT"/>
        <w:ind w:firstLine="568"/>
        <w:jc w:val="both"/>
      </w:pPr>
      <w:r>
        <w:rPr>
          <w:i/>
          <w:iCs/>
        </w:rPr>
        <w:t>k</w:t>
      </w:r>
      <w:r>
        <w:t> - коэффициент охвата</w:t>
      </w:r>
    </w:p>
    <w:p w:rsidR="00000000" w:rsidRDefault="005829C2">
      <w:pPr>
        <w:pStyle w:val="FORMATTEXT"/>
        <w:ind w:firstLine="568"/>
        <w:jc w:val="both"/>
      </w:pPr>
    </w:p>
    <w:p w:rsidR="00000000" w:rsidRDefault="005829C2">
      <w:pPr>
        <w:pStyle w:val="FORMATTEXT"/>
        <w:ind w:firstLine="568"/>
        <w:jc w:val="both"/>
      </w:pPr>
      <w:r>
        <w:rPr>
          <w:i/>
          <w:iCs/>
        </w:rPr>
        <w:t>MS</w:t>
      </w:r>
      <w:r>
        <w:t> - квадрат среднего (ANOVA)</w:t>
      </w:r>
    </w:p>
    <w:p w:rsidR="00000000" w:rsidRDefault="005829C2">
      <w:pPr>
        <w:pStyle w:val="FORMATTEXT"/>
        <w:ind w:firstLine="568"/>
        <w:jc w:val="both"/>
      </w:pPr>
    </w:p>
    <w:p w:rsidR="00000000" w:rsidRDefault="005829C2">
      <w:pPr>
        <w:pStyle w:val="FORMATTEXT"/>
        <w:ind w:firstLine="568"/>
        <w:jc w:val="both"/>
      </w:pPr>
      <w:r>
        <w:rPr>
          <w:i/>
          <w:iCs/>
        </w:rPr>
        <w:t>n</w:t>
      </w:r>
      <w:r>
        <w:t> - число наблюдений</w:t>
      </w:r>
    </w:p>
    <w:p w:rsidR="00000000" w:rsidRDefault="005829C2">
      <w:pPr>
        <w:pStyle w:val="FORMATTEXT"/>
        <w:ind w:firstLine="568"/>
        <w:jc w:val="both"/>
      </w:pPr>
    </w:p>
    <w:p w:rsidR="00000000" w:rsidRDefault="005829C2">
      <w:pPr>
        <w:pStyle w:val="FORMATTEXT"/>
        <w:ind w:firstLine="568"/>
        <w:jc w:val="both"/>
      </w:pPr>
      <w:r>
        <w:rPr>
          <w:i/>
          <w:iCs/>
        </w:rPr>
        <w:t>n</w:t>
      </w:r>
      <w:r w:rsidR="00862BD0">
        <w:rPr>
          <w:noProof/>
          <w:position w:val="-10"/>
        </w:rPr>
        <w:drawing>
          <wp:inline distT="0" distB="0" distL="0" distR="0">
            <wp:extent cx="104775" cy="228600"/>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775" cy="228600"/>
                    </a:xfrm>
                    <a:prstGeom prst="rect">
                      <a:avLst/>
                    </a:prstGeom>
                    <a:noFill/>
                    <a:ln>
                      <a:noFill/>
                    </a:ln>
                  </pic:spPr>
                </pic:pic>
              </a:graphicData>
            </a:graphic>
          </wp:inline>
        </w:drawing>
      </w:r>
      <w:r>
        <w:t> - (эффективное) число членов (под)групп (ANOVA)</w:t>
      </w:r>
    </w:p>
    <w:p w:rsidR="00000000" w:rsidRDefault="005829C2">
      <w:pPr>
        <w:pStyle w:val="FORMATTEXT"/>
        <w:ind w:firstLine="568"/>
        <w:jc w:val="both"/>
      </w:pPr>
    </w:p>
    <w:p w:rsidR="00000000" w:rsidRDefault="005829C2">
      <w:pPr>
        <w:pStyle w:val="FORMATTEXT"/>
        <w:ind w:firstLine="568"/>
        <w:jc w:val="both"/>
      </w:pPr>
      <w:r>
        <w:rPr>
          <w:i/>
          <w:iCs/>
        </w:rPr>
        <w:t>р</w:t>
      </w:r>
      <w:r>
        <w:t> - число лабораторий в межлабораторном эксперименте</w:t>
      </w:r>
    </w:p>
    <w:p w:rsidR="00000000" w:rsidRDefault="005829C2">
      <w:pPr>
        <w:pStyle w:val="FORMATTEXT"/>
        <w:ind w:firstLine="568"/>
        <w:jc w:val="both"/>
      </w:pPr>
    </w:p>
    <w:p w:rsidR="00000000" w:rsidRDefault="005829C2">
      <w:pPr>
        <w:pStyle w:val="FORMATTEXT"/>
        <w:ind w:firstLine="568"/>
        <w:jc w:val="both"/>
      </w:pPr>
      <w:r>
        <w:rPr>
          <w:i/>
          <w:iCs/>
        </w:rPr>
        <w:t>s</w:t>
      </w:r>
      <w:r w:rsidR="00862BD0">
        <w:rPr>
          <w:noProof/>
          <w:position w:val="-10"/>
        </w:rPr>
        <w:drawing>
          <wp:inline distT="0" distB="0" distL="0" distR="0">
            <wp:extent cx="161925" cy="228600"/>
            <wp:effectExtent l="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 стандартное отклонение вследствие </w:t>
      </w:r>
      <w:proofErr w:type="spellStart"/>
      <w:r>
        <w:t>межэкземплярной</w:t>
      </w:r>
      <w:proofErr w:type="spellEnd"/>
      <w:r>
        <w:t xml:space="preserve"> неоднородности</w:t>
      </w:r>
    </w:p>
    <w:p w:rsidR="00000000" w:rsidRDefault="005829C2">
      <w:pPr>
        <w:pStyle w:val="FORMATTEXT"/>
        <w:ind w:firstLine="568"/>
        <w:jc w:val="both"/>
      </w:pPr>
    </w:p>
    <w:p w:rsidR="00000000" w:rsidRDefault="005829C2">
      <w:pPr>
        <w:pStyle w:val="FORMATTEXT"/>
        <w:ind w:firstLine="568"/>
        <w:jc w:val="both"/>
      </w:pPr>
      <w:r>
        <w:rPr>
          <w:i/>
          <w:iCs/>
        </w:rPr>
        <w:t>s</w:t>
      </w:r>
      <w:r w:rsidR="00862BD0">
        <w:rPr>
          <w:noProof/>
          <w:position w:val="-10"/>
        </w:rPr>
        <w:drawing>
          <wp:inline distT="0" distB="0" distL="0" distR="0">
            <wp:extent cx="180975" cy="228600"/>
            <wp:effectExtent l="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r>
      <w:r>
        <w:t> - стандартное отклонение вследствие недостаточной повторяемости</w:t>
      </w:r>
    </w:p>
    <w:p w:rsidR="00000000" w:rsidRDefault="005829C2">
      <w:pPr>
        <w:pStyle w:val="FORMATTEXT"/>
        <w:ind w:firstLine="568"/>
        <w:jc w:val="both"/>
      </w:pPr>
    </w:p>
    <w:p w:rsidR="00000000" w:rsidRDefault="005829C2">
      <w:pPr>
        <w:pStyle w:val="FORMATTEXT"/>
        <w:ind w:firstLine="568"/>
        <w:jc w:val="both"/>
      </w:pPr>
      <w:r>
        <w:rPr>
          <w:i/>
          <w:iCs/>
        </w:rPr>
        <w:t>s</w:t>
      </w:r>
      <w:r w:rsidR="00862BD0">
        <w:rPr>
          <w:noProof/>
          <w:position w:val="-10"/>
        </w:rPr>
        <w:drawing>
          <wp:inline distT="0" distB="0" distL="0" distR="0">
            <wp:extent cx="152400" cy="2286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t> - стандартное отклонение вследствие долговременной нестабильности</w:t>
      </w:r>
    </w:p>
    <w:p w:rsidR="00000000" w:rsidRDefault="005829C2">
      <w:pPr>
        <w:pStyle w:val="FORMATTEXT"/>
        <w:ind w:firstLine="568"/>
        <w:jc w:val="both"/>
      </w:pPr>
    </w:p>
    <w:p w:rsidR="00000000" w:rsidRDefault="005829C2">
      <w:pPr>
        <w:pStyle w:val="FORMATTEXT"/>
        <w:ind w:firstLine="568"/>
        <w:jc w:val="both"/>
      </w:pPr>
      <w:r>
        <w:rPr>
          <w:i/>
          <w:iCs/>
        </w:rPr>
        <w:t>s</w:t>
      </w:r>
      <w:r w:rsidR="00862BD0">
        <w:rPr>
          <w:noProof/>
          <w:position w:val="-9"/>
        </w:rPr>
        <w:drawing>
          <wp:inline distT="0" distB="0" distL="0" distR="0">
            <wp:extent cx="104775" cy="219075"/>
            <wp:effectExtent l="0" t="0" r="9525"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t> - стандартное отклонение повторяемости</w:t>
      </w:r>
    </w:p>
    <w:p w:rsidR="00000000" w:rsidRDefault="005829C2">
      <w:pPr>
        <w:pStyle w:val="FORMATTEXT"/>
        <w:ind w:firstLine="568"/>
        <w:jc w:val="both"/>
      </w:pPr>
    </w:p>
    <w:p w:rsidR="00000000" w:rsidRDefault="005829C2">
      <w:pPr>
        <w:pStyle w:val="FORMATTEXT"/>
        <w:ind w:firstLine="568"/>
        <w:jc w:val="both"/>
      </w:pPr>
      <w:r>
        <w:rPr>
          <w:i/>
          <w:iCs/>
        </w:rPr>
        <w:t>s</w:t>
      </w:r>
      <w:r w:rsidR="00862BD0">
        <w:rPr>
          <w:noProof/>
          <w:position w:val="-10"/>
        </w:rPr>
        <w:drawing>
          <wp:inline distT="0" distB="0" distL="0" distR="0">
            <wp:extent cx="228600" cy="2286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t> - стандартное отклонение вследствие не</w:t>
      </w:r>
      <w:r>
        <w:t>стабильности</w:t>
      </w:r>
    </w:p>
    <w:p w:rsidR="00000000" w:rsidRDefault="005829C2">
      <w:pPr>
        <w:pStyle w:val="FORMATTEXT"/>
        <w:ind w:firstLine="568"/>
        <w:jc w:val="both"/>
      </w:pPr>
    </w:p>
    <w:p w:rsidR="00000000" w:rsidRDefault="005829C2">
      <w:pPr>
        <w:pStyle w:val="FORMATTEXT"/>
        <w:ind w:firstLine="568"/>
        <w:jc w:val="both"/>
      </w:pPr>
      <w:r>
        <w:rPr>
          <w:i/>
          <w:iCs/>
        </w:rPr>
        <w:t>s</w:t>
      </w:r>
      <w:r w:rsidR="00862BD0">
        <w:rPr>
          <w:noProof/>
          <w:position w:val="-10"/>
        </w:rPr>
        <w:drawing>
          <wp:inline distT="0" distB="0" distL="0" distR="0">
            <wp:extent cx="161925" cy="228600"/>
            <wp:effectExtent l="0" t="0" r="952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 стандартное отклонение вследствие кратковременной нестабильности</w:t>
      </w:r>
    </w:p>
    <w:p w:rsidR="00000000" w:rsidRDefault="005829C2">
      <w:pPr>
        <w:pStyle w:val="FORMATTEXT"/>
        <w:ind w:firstLine="568"/>
        <w:jc w:val="both"/>
      </w:pPr>
    </w:p>
    <w:p w:rsidR="00000000" w:rsidRDefault="005829C2">
      <w:pPr>
        <w:pStyle w:val="FORMATTEXT"/>
        <w:ind w:firstLine="568"/>
        <w:jc w:val="both"/>
      </w:pPr>
      <w:r>
        <w:rPr>
          <w:i/>
          <w:iCs/>
        </w:rPr>
        <w:t>s</w:t>
      </w:r>
      <w:r w:rsidR="00862BD0">
        <w:rPr>
          <w:noProof/>
          <w:position w:val="-10"/>
        </w:rPr>
        <w:drawing>
          <wp:inline distT="0" distB="0" distL="0" distR="0">
            <wp:extent cx="190500" cy="2286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t xml:space="preserve"> - стандартное отклонение вследствие </w:t>
      </w:r>
      <w:proofErr w:type="spellStart"/>
      <w:r>
        <w:t>внутриэкземплярной</w:t>
      </w:r>
      <w:proofErr w:type="spellEnd"/>
      <w:r>
        <w:t xml:space="preserve"> неоднородности</w:t>
      </w:r>
    </w:p>
    <w:p w:rsidR="00000000" w:rsidRDefault="005829C2">
      <w:pPr>
        <w:pStyle w:val="FORMATTEXT"/>
        <w:ind w:firstLine="568"/>
        <w:jc w:val="both"/>
      </w:pPr>
    </w:p>
    <w:p w:rsidR="00000000" w:rsidRDefault="005829C2">
      <w:pPr>
        <w:pStyle w:val="FORMATTEXT"/>
        <w:ind w:firstLine="568"/>
        <w:jc w:val="both"/>
      </w:pPr>
      <w:r>
        <w:rPr>
          <w:i/>
          <w:iCs/>
        </w:rPr>
        <w:t>SS</w:t>
      </w:r>
      <w:r>
        <w:t> - сумма квадратов (ANOVA)</w:t>
      </w:r>
    </w:p>
    <w:p w:rsidR="00000000" w:rsidRDefault="005829C2">
      <w:pPr>
        <w:pStyle w:val="FORMATTEXT"/>
        <w:ind w:firstLine="568"/>
        <w:jc w:val="both"/>
      </w:pPr>
    </w:p>
    <w:p w:rsidR="00000000" w:rsidRDefault="005829C2">
      <w:pPr>
        <w:pStyle w:val="FORMATTEXT"/>
        <w:ind w:firstLine="568"/>
        <w:jc w:val="both"/>
      </w:pPr>
      <w:r>
        <w:rPr>
          <w:i/>
          <w:iCs/>
        </w:rPr>
        <w:t>и</w:t>
      </w:r>
      <w:r w:rsidR="00862BD0">
        <w:rPr>
          <w:noProof/>
          <w:position w:val="-10"/>
        </w:rPr>
        <w:drawing>
          <wp:inline distT="0" distB="0" distL="0" distR="0">
            <wp:extent cx="161925" cy="228600"/>
            <wp:effectExtent l="0" t="0" r="952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 стандартная неопределенность от </w:t>
      </w:r>
      <w:proofErr w:type="spellStart"/>
      <w:r>
        <w:t>межэкземплярной</w:t>
      </w:r>
      <w:proofErr w:type="spellEnd"/>
      <w:r>
        <w:t xml:space="preserve"> неоднородности</w:t>
      </w:r>
    </w:p>
    <w:p w:rsidR="00000000" w:rsidRDefault="005829C2">
      <w:pPr>
        <w:pStyle w:val="FORMATTEXT"/>
        <w:ind w:firstLine="568"/>
        <w:jc w:val="both"/>
      </w:pPr>
    </w:p>
    <w:p w:rsidR="00000000" w:rsidRDefault="005829C2">
      <w:pPr>
        <w:pStyle w:val="FORMATTEXT"/>
        <w:ind w:firstLine="568"/>
        <w:jc w:val="both"/>
      </w:pPr>
      <w:r>
        <w:rPr>
          <w:i/>
          <w:iCs/>
        </w:rPr>
        <w:t>u</w:t>
      </w:r>
      <w:r w:rsidR="00862BD0">
        <w:rPr>
          <w:noProof/>
          <w:position w:val="-10"/>
        </w:rPr>
        <w:drawing>
          <wp:inline distT="0" distB="0" distL="0" distR="0">
            <wp:extent cx="257175" cy="228600"/>
            <wp:effectExtent l="0" t="0" r="952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t xml:space="preserve"> - стандартная неопределенность от </w:t>
      </w:r>
      <w:proofErr w:type="spellStart"/>
      <w:r>
        <w:t>характеризации</w:t>
      </w:r>
      <w:proofErr w:type="spellEnd"/>
    </w:p>
    <w:p w:rsidR="00000000" w:rsidRDefault="005829C2">
      <w:pPr>
        <w:pStyle w:val="FORMATTEXT"/>
        <w:ind w:firstLine="568"/>
        <w:jc w:val="both"/>
      </w:pPr>
    </w:p>
    <w:p w:rsidR="00000000" w:rsidRDefault="005829C2">
      <w:pPr>
        <w:pStyle w:val="FORMATTEXT"/>
        <w:ind w:firstLine="568"/>
        <w:jc w:val="both"/>
      </w:pPr>
      <w:r>
        <w:rPr>
          <w:i/>
          <w:iCs/>
        </w:rPr>
        <w:t>u</w:t>
      </w:r>
      <w:r w:rsidR="00862BD0">
        <w:rPr>
          <w:noProof/>
          <w:position w:val="-10"/>
        </w:rPr>
        <w:drawing>
          <wp:inline distT="0" distB="0" distL="0" distR="0">
            <wp:extent cx="304800" cy="22860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228600"/>
                    </a:xfrm>
                    <a:prstGeom prst="rect">
                      <a:avLst/>
                    </a:prstGeom>
                    <a:noFill/>
                    <a:ln>
                      <a:noFill/>
                    </a:ln>
                  </pic:spPr>
                </pic:pic>
              </a:graphicData>
            </a:graphic>
          </wp:inline>
        </w:drawing>
      </w:r>
      <w:r>
        <w:t> - стандартная неопределенность значения параметра</w:t>
      </w:r>
    </w:p>
    <w:p w:rsidR="00000000" w:rsidRDefault="005829C2">
      <w:pPr>
        <w:pStyle w:val="FORMATTEXT"/>
        <w:ind w:firstLine="568"/>
        <w:jc w:val="both"/>
      </w:pPr>
    </w:p>
    <w:p w:rsidR="00000000" w:rsidRDefault="005829C2">
      <w:pPr>
        <w:pStyle w:val="FORMATTEXT"/>
        <w:ind w:firstLine="568"/>
        <w:jc w:val="both"/>
      </w:pPr>
      <w:r>
        <w:rPr>
          <w:i/>
          <w:iCs/>
        </w:rPr>
        <w:t>u</w:t>
      </w:r>
      <w:r w:rsidR="00862BD0">
        <w:rPr>
          <w:noProof/>
          <w:position w:val="-10"/>
        </w:rPr>
        <w:drawing>
          <wp:inline distT="0" distB="0" distL="0" distR="0">
            <wp:extent cx="152400" cy="2286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t> - стандартная неопределенность от долговременной нестабиль</w:t>
      </w:r>
      <w:r>
        <w:t>ности</w:t>
      </w:r>
    </w:p>
    <w:p w:rsidR="00000000" w:rsidRDefault="005829C2">
      <w:pPr>
        <w:pStyle w:val="FORMATTEXT"/>
        <w:ind w:firstLine="568"/>
        <w:jc w:val="both"/>
      </w:pPr>
    </w:p>
    <w:p w:rsidR="00000000" w:rsidRDefault="005829C2">
      <w:pPr>
        <w:pStyle w:val="FORMATTEXT"/>
        <w:ind w:firstLine="568"/>
        <w:jc w:val="both"/>
      </w:pPr>
      <w:r>
        <w:rPr>
          <w:i/>
          <w:iCs/>
        </w:rPr>
        <w:t>u</w:t>
      </w:r>
      <w:r w:rsidR="00862BD0">
        <w:rPr>
          <w:noProof/>
          <w:position w:val="-10"/>
        </w:rPr>
        <w:drawing>
          <wp:inline distT="0" distB="0" distL="0" distR="0">
            <wp:extent cx="161925" cy="228600"/>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 стандартная неопределенность от кратковременной нестабильности</w:t>
      </w:r>
    </w:p>
    <w:p w:rsidR="00000000" w:rsidRDefault="005829C2">
      <w:pPr>
        <w:pStyle w:val="FORMATTEXT"/>
        <w:ind w:firstLine="568"/>
        <w:jc w:val="both"/>
      </w:pPr>
    </w:p>
    <w:p w:rsidR="00000000" w:rsidRDefault="005829C2">
      <w:pPr>
        <w:pStyle w:val="FORMATTEXT"/>
        <w:ind w:firstLine="568"/>
        <w:jc w:val="both"/>
      </w:pPr>
      <w:r>
        <w:rPr>
          <w:i/>
          <w:iCs/>
        </w:rPr>
        <w:t>u</w:t>
      </w:r>
      <w:r w:rsidR="00862BD0">
        <w:rPr>
          <w:noProof/>
          <w:position w:val="-10"/>
        </w:rPr>
        <w:drawing>
          <wp:inline distT="0" distB="0" distL="0" distR="0">
            <wp:extent cx="304800" cy="22860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228600"/>
                    </a:xfrm>
                    <a:prstGeom prst="rect">
                      <a:avLst/>
                    </a:prstGeom>
                    <a:noFill/>
                    <a:ln>
                      <a:noFill/>
                    </a:ln>
                  </pic:spPr>
                </pic:pic>
              </a:graphicData>
            </a:graphic>
          </wp:inline>
        </w:drawing>
      </w:r>
      <w:r>
        <w:t> - расширенная неопределенность значения параметра</w:t>
      </w:r>
    </w:p>
    <w:p w:rsidR="00000000" w:rsidRDefault="005829C2">
      <w:pPr>
        <w:pStyle w:val="FORMATTEXT"/>
        <w:ind w:firstLine="568"/>
        <w:jc w:val="both"/>
      </w:pPr>
    </w:p>
    <w:p w:rsidR="00000000" w:rsidRDefault="005829C2">
      <w:pPr>
        <w:pStyle w:val="FORMATTEXT"/>
        <w:ind w:firstLine="568"/>
        <w:jc w:val="both"/>
      </w:pPr>
      <w:r>
        <w:rPr>
          <w:i/>
          <w:iCs/>
        </w:rPr>
        <w:t>x</w:t>
      </w:r>
      <w:r w:rsidR="00862BD0">
        <w:rPr>
          <w:noProof/>
          <w:position w:val="-10"/>
        </w:rPr>
        <w:drawing>
          <wp:inline distT="0" distB="0" distL="0" distR="0">
            <wp:extent cx="257175" cy="228600"/>
            <wp:effectExtent l="0" t="0" r="952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t> - значение параметра</w:t>
      </w:r>
      <w:r>
        <w:t xml:space="preserve">, полученное при </w:t>
      </w:r>
      <w:proofErr w:type="spellStart"/>
      <w:r>
        <w:t>характеризации</w:t>
      </w:r>
      <w:proofErr w:type="spellEnd"/>
    </w:p>
    <w:p w:rsidR="00000000" w:rsidRDefault="005829C2">
      <w:pPr>
        <w:pStyle w:val="FORMATTEXT"/>
        <w:ind w:firstLine="568"/>
        <w:jc w:val="both"/>
      </w:pPr>
    </w:p>
    <w:p w:rsidR="00000000" w:rsidRDefault="005829C2">
      <w:pPr>
        <w:pStyle w:val="FORMATTEXT"/>
        <w:ind w:firstLine="568"/>
        <w:jc w:val="both"/>
      </w:pPr>
      <w:r>
        <w:rPr>
          <w:i/>
          <w:iCs/>
        </w:rPr>
        <w:t>x</w:t>
      </w:r>
      <w:r w:rsidR="00862BD0">
        <w:rPr>
          <w:noProof/>
          <w:position w:val="-10"/>
        </w:rPr>
        <w:drawing>
          <wp:inline distT="0" distB="0" distL="0" distR="0">
            <wp:extent cx="304800" cy="22860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228600"/>
                    </a:xfrm>
                    <a:prstGeom prst="rect">
                      <a:avLst/>
                    </a:prstGeom>
                    <a:noFill/>
                    <a:ln>
                      <a:noFill/>
                    </a:ln>
                  </pic:spPr>
                </pic:pic>
              </a:graphicData>
            </a:graphic>
          </wp:inline>
        </w:drawing>
      </w:r>
      <w:r>
        <w:t> - значение параметра ССО (АСО)</w:t>
      </w:r>
    </w:p>
    <w:p w:rsidR="00000000" w:rsidRDefault="005829C2">
      <w:pPr>
        <w:pStyle w:val="FORMATTEXT"/>
        <w:ind w:firstLine="568"/>
        <w:jc w:val="both"/>
      </w:pPr>
    </w:p>
    <w:p w:rsidR="00000000" w:rsidRDefault="00862BD0">
      <w:pPr>
        <w:pStyle w:val="FORMATTEXT"/>
        <w:ind w:firstLine="568"/>
        <w:jc w:val="both"/>
      </w:pPr>
      <w:r>
        <w:rPr>
          <w:noProof/>
          <w:position w:val="-10"/>
        </w:rPr>
        <w:drawing>
          <wp:inline distT="0" distB="0" distL="0" distR="0">
            <wp:extent cx="304800" cy="2286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4800" cy="228600"/>
                    </a:xfrm>
                    <a:prstGeom prst="rect">
                      <a:avLst/>
                    </a:prstGeom>
                    <a:noFill/>
                    <a:ln>
                      <a:noFill/>
                    </a:ln>
                  </pic:spPr>
                </pic:pic>
              </a:graphicData>
            </a:graphic>
          </wp:inline>
        </w:drawing>
      </w:r>
      <w:r w:rsidR="005829C2">
        <w:t xml:space="preserve">- оценка погрешности от </w:t>
      </w:r>
      <w:proofErr w:type="spellStart"/>
      <w:r w:rsidR="005829C2">
        <w:t>межэкземплярной</w:t>
      </w:r>
      <w:proofErr w:type="spellEnd"/>
      <w:r w:rsidR="005829C2">
        <w:t xml:space="preserve"> неоднородности</w:t>
      </w:r>
    </w:p>
    <w:p w:rsidR="00000000" w:rsidRDefault="005829C2">
      <w:pPr>
        <w:pStyle w:val="FORMATTEXT"/>
        <w:ind w:firstLine="568"/>
        <w:jc w:val="both"/>
      </w:pPr>
    </w:p>
    <w:p w:rsidR="00000000" w:rsidRDefault="00862BD0">
      <w:pPr>
        <w:pStyle w:val="FORMATTEXT"/>
        <w:ind w:firstLine="568"/>
        <w:jc w:val="both"/>
      </w:pPr>
      <w:r>
        <w:rPr>
          <w:noProof/>
          <w:position w:val="-10"/>
        </w:rPr>
        <w:drawing>
          <wp:inline distT="0" distB="0" distL="0" distR="0">
            <wp:extent cx="304800" cy="22860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4800" cy="228600"/>
                    </a:xfrm>
                    <a:prstGeom prst="rect">
                      <a:avLst/>
                    </a:prstGeom>
                    <a:noFill/>
                    <a:ln>
                      <a:noFill/>
                    </a:ln>
                  </pic:spPr>
                </pic:pic>
              </a:graphicData>
            </a:graphic>
          </wp:inline>
        </w:drawing>
      </w:r>
      <w:r w:rsidR="005829C2">
        <w:t>- оценка погрешности от долговременной нестабильности</w:t>
      </w:r>
    </w:p>
    <w:p w:rsidR="00000000" w:rsidRDefault="005829C2">
      <w:pPr>
        <w:pStyle w:val="FORMATTEXT"/>
        <w:ind w:firstLine="568"/>
        <w:jc w:val="both"/>
      </w:pPr>
    </w:p>
    <w:p w:rsidR="00000000" w:rsidRDefault="00862BD0">
      <w:pPr>
        <w:pStyle w:val="FORMATTEXT"/>
        <w:ind w:firstLine="568"/>
        <w:jc w:val="both"/>
      </w:pPr>
      <w:r>
        <w:rPr>
          <w:noProof/>
          <w:position w:val="-10"/>
        </w:rPr>
        <w:drawing>
          <wp:inline distT="0" distB="0" distL="0" distR="0">
            <wp:extent cx="314325" cy="2286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4325" cy="228600"/>
                    </a:xfrm>
                    <a:prstGeom prst="rect">
                      <a:avLst/>
                    </a:prstGeom>
                    <a:noFill/>
                    <a:ln>
                      <a:noFill/>
                    </a:ln>
                  </pic:spPr>
                </pic:pic>
              </a:graphicData>
            </a:graphic>
          </wp:inline>
        </w:drawing>
      </w:r>
      <w:r w:rsidR="005829C2">
        <w:t>- оценка погрешности от кратковременной</w:t>
      </w:r>
      <w:r w:rsidR="005829C2">
        <w:t xml:space="preserve"> нестабильности</w:t>
      </w:r>
    </w:p>
    <w:p w:rsidR="00000000" w:rsidRDefault="005829C2">
      <w:pPr>
        <w:pStyle w:val="FORMATTEXT"/>
        <w:ind w:firstLine="568"/>
        <w:jc w:val="both"/>
      </w:pPr>
    </w:p>
    <w:p w:rsidR="00000000" w:rsidRDefault="005829C2">
      <w:pPr>
        <w:pStyle w:val="FORMATTEXT"/>
        <w:ind w:firstLine="568"/>
        <w:jc w:val="both"/>
      </w:pPr>
      <w:r>
        <w:rPr>
          <w:i/>
          <w:iCs/>
        </w:rPr>
        <w:t>x</w:t>
      </w:r>
      <w:r w:rsidR="00862BD0">
        <w:rPr>
          <w:noProof/>
          <w:position w:val="-10"/>
        </w:rPr>
        <w:drawing>
          <wp:inline distT="0" distB="0" distL="0" distR="0">
            <wp:extent cx="114300" cy="238125"/>
            <wp:effectExtent l="0" t="0" r="0"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238125"/>
                    </a:xfrm>
                    <a:prstGeom prst="rect">
                      <a:avLst/>
                    </a:prstGeom>
                    <a:noFill/>
                    <a:ln>
                      <a:noFill/>
                    </a:ln>
                  </pic:spPr>
                </pic:pic>
              </a:graphicData>
            </a:graphic>
          </wp:inline>
        </w:drawing>
      </w:r>
      <w:r>
        <w:t> - результат отдельного измерения в эксперименте (ANOVA)</w:t>
      </w:r>
    </w:p>
    <w:p w:rsidR="00000000" w:rsidRDefault="005829C2">
      <w:pPr>
        <w:pStyle w:val="FORMATTEXT"/>
        <w:ind w:firstLine="568"/>
        <w:jc w:val="both"/>
      </w:pPr>
    </w:p>
    <w:p w:rsidR="00000000" w:rsidRDefault="00862BD0">
      <w:pPr>
        <w:pStyle w:val="FORMATTEXT"/>
        <w:ind w:firstLine="568"/>
        <w:jc w:val="both"/>
      </w:pPr>
      <w:r>
        <w:rPr>
          <w:noProof/>
          <w:position w:val="-7"/>
        </w:rPr>
        <w:drawing>
          <wp:inline distT="0" distB="0" distL="0" distR="0">
            <wp:extent cx="123825" cy="161925"/>
            <wp:effectExtent l="0" t="0" r="9525" b="952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rsidR="005829C2">
        <w:t>- математическое ожидание</w:t>
      </w:r>
    </w:p>
    <w:p w:rsidR="00000000" w:rsidRDefault="005829C2">
      <w:pPr>
        <w:pStyle w:val="FORMATTEXT"/>
        <w:ind w:firstLine="568"/>
        <w:jc w:val="both"/>
      </w:pPr>
    </w:p>
    <w:p w:rsidR="00000000" w:rsidRDefault="005829C2">
      <w:pPr>
        <w:pStyle w:val="FORMATTEXT"/>
        <w:ind w:firstLine="568"/>
        <w:jc w:val="both"/>
      </w:pPr>
      <w:r>
        <w:t>Примечания</w:t>
      </w:r>
    </w:p>
    <w:p w:rsidR="00000000" w:rsidRDefault="005829C2">
      <w:pPr>
        <w:pStyle w:val="FORMATTEXT"/>
        <w:ind w:firstLine="568"/>
        <w:jc w:val="both"/>
      </w:pPr>
    </w:p>
    <w:p w:rsidR="00000000" w:rsidRDefault="005829C2">
      <w:pPr>
        <w:pStyle w:val="FORMATTEXT"/>
        <w:ind w:firstLine="568"/>
        <w:jc w:val="both"/>
      </w:pPr>
      <w:r>
        <w:t>1 В некоторых разделах обозначения использованы для иллюстрации типичн</w:t>
      </w:r>
      <w:r>
        <w:t>ых подходов решения статистических вопросов в проектах по сертификации (аттестации). Такие обозначения объяснены в тексте.</w:t>
      </w:r>
    </w:p>
    <w:p w:rsidR="00000000" w:rsidRDefault="005829C2">
      <w:pPr>
        <w:pStyle w:val="FORMATTEXT"/>
        <w:ind w:firstLine="568"/>
        <w:jc w:val="both"/>
      </w:pPr>
    </w:p>
    <w:p w:rsidR="00000000" w:rsidRDefault="005829C2">
      <w:pPr>
        <w:pStyle w:val="FORMATTEXT"/>
        <w:ind w:firstLine="568"/>
        <w:jc w:val="both"/>
      </w:pPr>
      <w:r>
        <w:t xml:space="preserve">2 Обозначения </w:t>
      </w:r>
      <w:r>
        <w:rPr>
          <w:i/>
          <w:iCs/>
        </w:rPr>
        <w:t>MS</w:t>
      </w:r>
      <w:r>
        <w:t xml:space="preserve"> и </w:t>
      </w:r>
      <w:r>
        <w:rPr>
          <w:i/>
          <w:iCs/>
        </w:rPr>
        <w:t>SS</w:t>
      </w:r>
      <w:r>
        <w:t xml:space="preserve"> взяты из литературы и не соответствуют правилам ISO в отношении использования этих обозначений. Однако для ясн</w:t>
      </w:r>
      <w:r>
        <w:t>ости предпочтение отдано условным обозначениям в научной литературе.</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5 Планирование проекта сертификации (аттестации) </w:t>
      </w: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w:t>
      </w: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5.1 Общие положения </w:t>
      </w:r>
    </w:p>
    <w:p w:rsidR="00000000" w:rsidRDefault="005829C2">
      <w:pPr>
        <w:pStyle w:val="FORMATTEXT"/>
        <w:ind w:firstLine="568"/>
        <w:jc w:val="both"/>
      </w:pPr>
      <w:r>
        <w:t>Производство ССО (АСО) требует большого объема планирования перед началом любых реальных раб</w:t>
      </w:r>
      <w:r>
        <w:t xml:space="preserve">от по проекту. Основная часть планирования относится к количеству необходимого материала, а также к исследованиям однородности, стабильности и к </w:t>
      </w:r>
      <w:proofErr w:type="spellStart"/>
      <w:r>
        <w:t>характеризации</w:t>
      </w:r>
      <w:proofErr w:type="spellEnd"/>
      <w:r>
        <w:t>. Планирование также предусматривает выбор подходящих методов измерений для этих исследований. Чи</w:t>
      </w:r>
      <w:r>
        <w:t xml:space="preserve">сло отбираемых проб также очень важная составная часть в процессе планирования. Число проб и количество исходного материала зависят от всех этих факторов. В разделах об исследованиях однородности (раздел 7), исследованиях стабильности (раздел 8) и </w:t>
      </w:r>
      <w:proofErr w:type="spellStart"/>
      <w:r>
        <w:t>характер</w:t>
      </w:r>
      <w:r>
        <w:t>изации</w:t>
      </w:r>
      <w:proofErr w:type="spellEnd"/>
      <w:r>
        <w:t xml:space="preserve"> (разделы 9 и 10) будут даны рекомендации о том, как планировать и применять эти процедуры в проекте сертификации (аттестации). Исследование целесообразности разработки ССО (АСО) может быть также частью плана проекта.</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5.2 Подготовка проекта </w:t>
      </w:r>
    </w:p>
    <w:p w:rsidR="00000000" w:rsidRDefault="005829C2">
      <w:pPr>
        <w:pStyle w:val="FORMATTEXT"/>
        <w:ind w:firstLine="568"/>
        <w:jc w:val="both"/>
      </w:pPr>
      <w:r>
        <w:t>Планирование проекта начинается с определения, какой ССО (АСО) должен быть разработан.</w:t>
      </w:r>
    </w:p>
    <w:p w:rsidR="00000000" w:rsidRDefault="005829C2">
      <w:pPr>
        <w:pStyle w:val="FORMATTEXT"/>
        <w:ind w:firstLine="568"/>
        <w:jc w:val="both"/>
      </w:pPr>
    </w:p>
    <w:p w:rsidR="00000000" w:rsidRDefault="005829C2">
      <w:pPr>
        <w:pStyle w:val="FORMATTEXT"/>
        <w:ind w:firstLine="568"/>
        <w:jc w:val="both"/>
      </w:pPr>
      <w:r>
        <w:rPr>
          <w:b/>
          <w:bCs/>
          <w:i/>
          <w:iCs/>
        </w:rPr>
        <w:t>Пример</w:t>
      </w:r>
      <w:r>
        <w:t xml:space="preserve"> - </w:t>
      </w:r>
      <w:r>
        <w:rPr>
          <w:b/>
          <w:bCs/>
          <w:i/>
          <w:iCs/>
        </w:rPr>
        <w:t>Типичный пример такого определения приводится ниже:</w:t>
      </w:r>
    </w:p>
    <w:p w:rsidR="00000000" w:rsidRDefault="005829C2">
      <w:pPr>
        <w:pStyle w:val="FORMATTEXT"/>
        <w:ind w:firstLine="568"/>
        <w:jc w:val="both"/>
      </w:pPr>
    </w:p>
    <w:p w:rsidR="00000000" w:rsidRDefault="005829C2">
      <w:pPr>
        <w:pStyle w:val="FORMATTEXT"/>
        <w:ind w:firstLine="568"/>
        <w:jc w:val="both"/>
      </w:pPr>
      <w:r>
        <w:rPr>
          <w:b/>
          <w:bCs/>
          <w:i/>
          <w:iCs/>
        </w:rPr>
        <w:t>"подготовка ССО (АСО) почвы, содержащего серию следовых элементов на уровнях содержания, значимых для хими</w:t>
      </w:r>
      <w:r>
        <w:rPr>
          <w:b/>
          <w:bCs/>
          <w:i/>
          <w:iCs/>
        </w:rPr>
        <w:t>ческого анализа окружающей среды, с неопределенностью сертифицированных (аттестованных) значений менее или равной x%".</w:t>
      </w:r>
    </w:p>
    <w:p w:rsidR="00000000" w:rsidRDefault="005829C2">
      <w:pPr>
        <w:pStyle w:val="FORMATTEXT"/>
        <w:ind w:firstLine="568"/>
        <w:jc w:val="both"/>
      </w:pPr>
    </w:p>
    <w:p w:rsidR="00000000" w:rsidRDefault="005829C2">
      <w:pPr>
        <w:pStyle w:val="FORMATTEXT"/>
        <w:ind w:firstLine="568"/>
        <w:jc w:val="both"/>
      </w:pPr>
      <w:r>
        <w:t>Это определение достаточно хорошо раскрывает проект. То, что важно для химии окружающей среды, может отличаться от случая к случаю, но с</w:t>
      </w:r>
      <w:r>
        <w:t xml:space="preserve">ущественно ограничивает круг материалов. Например, слово "почва" ограничивает число вариантов для матрицы. Во всех случаях важно указать, </w:t>
      </w:r>
      <w:r>
        <w:lastRenderedPageBreak/>
        <w:t xml:space="preserve">что предполагается разрабатывать. На стадии </w:t>
      </w:r>
      <w:proofErr w:type="gramStart"/>
      <w:r>
        <w:t>планирования проекта это</w:t>
      </w:r>
      <w:proofErr w:type="gramEnd"/>
      <w:r>
        <w:t xml:space="preserve"> определение может быть более подробным. И наконец</w:t>
      </w:r>
      <w:r>
        <w:t>, допускаемое значение неопределенности указывает на то, что материал будет соответствовать своему назначению. Например, неопределенности сертифицированных (аттестованных) значений СО, применяемых для калибровки, должны быть значительно меньше, чем неопред</w:t>
      </w:r>
      <w:r>
        <w:t xml:space="preserve">еленности сертифицированных (аттестованных) значений образцов, предназначенных для </w:t>
      </w:r>
      <w:proofErr w:type="spellStart"/>
      <w:r>
        <w:t>валидации</w:t>
      </w:r>
      <w:proofErr w:type="spellEnd"/>
      <w:r>
        <w:t xml:space="preserve"> аналитических методов измерения содержания следовых элементов в природных материалах.</w:t>
      </w:r>
    </w:p>
    <w:p w:rsidR="00000000" w:rsidRDefault="005829C2">
      <w:pPr>
        <w:pStyle w:val="FORMATTEXT"/>
        <w:ind w:firstLine="568"/>
        <w:jc w:val="both"/>
      </w:pPr>
    </w:p>
    <w:p w:rsidR="00000000" w:rsidRDefault="005829C2">
      <w:pPr>
        <w:pStyle w:val="FORMATTEXT"/>
        <w:ind w:firstLine="568"/>
        <w:jc w:val="both"/>
      </w:pPr>
      <w:r>
        <w:t>Правильный выбор "установленных опорных значений", к которым устанавливается</w:t>
      </w:r>
      <w:r>
        <w:t xml:space="preserve"> </w:t>
      </w:r>
      <w:proofErr w:type="spellStart"/>
      <w:r>
        <w:t>прослеживаемость</w:t>
      </w:r>
      <w:proofErr w:type="spellEnd"/>
      <w:r>
        <w:t xml:space="preserve"> значений параметров, является основным вопросом при планировании проекта сертификации (аттестации); он в значительной степени зависит от того, какие основы для сравнения имеются в наличии, что необходимо для того, чтобы конкретный ССО (АС</w:t>
      </w:r>
      <w:r>
        <w:t xml:space="preserve">О) служил лабораториям, ежедневно выполняющим эти измерения, и что технически целесообразно. </w:t>
      </w:r>
      <w:proofErr w:type="gramStart"/>
      <w:r>
        <w:t>В связи с тем что</w:t>
      </w:r>
      <w:proofErr w:type="gramEnd"/>
      <w:r>
        <w:t xml:space="preserve"> ССО (АСО) используют в первую очередь для обеспечения </w:t>
      </w:r>
      <w:proofErr w:type="spellStart"/>
      <w:r>
        <w:t>прослеживаемости</w:t>
      </w:r>
      <w:proofErr w:type="spellEnd"/>
      <w:r>
        <w:t xml:space="preserve"> последующих измерений, выбор правильных основ для сравнения является решаю</w:t>
      </w:r>
      <w:r>
        <w:t>щим для значения изготовленного ССО (АСО) как в метрологическом, так и в коммерческом плане.</w:t>
      </w:r>
    </w:p>
    <w:p w:rsidR="00000000" w:rsidRDefault="005829C2">
      <w:pPr>
        <w:pStyle w:val="FORMATTEXT"/>
        <w:ind w:firstLine="568"/>
        <w:jc w:val="both"/>
      </w:pPr>
    </w:p>
    <w:p w:rsidR="00000000" w:rsidRDefault="005829C2">
      <w:pPr>
        <w:pStyle w:val="FORMATTEXT"/>
        <w:ind w:firstLine="568"/>
        <w:jc w:val="both"/>
      </w:pPr>
      <w:r>
        <w:t>Также необходимо установить область, в которой планируется применять ССО (АСО). В большинстве случаев область применения очевидна из определения проекта, но иногд</w:t>
      </w:r>
      <w:r>
        <w:t>а она требует дальнейшей разработки. Такая область применения не исключает другие виды применения, но следует иметь в виду, что такое применение может быть не указано в сертификате (паспорте) или другой представленной документации. Область, в которой предп</w:t>
      </w:r>
      <w:r>
        <w:t>олагается применять СО, может предписываться законодательными актами или международными договорами.</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5.3 Вопросы транспортирования </w:t>
      </w:r>
    </w:p>
    <w:p w:rsidR="00000000" w:rsidRDefault="005829C2">
      <w:pPr>
        <w:pStyle w:val="FORMATTEXT"/>
        <w:ind w:firstLine="568"/>
        <w:jc w:val="both"/>
      </w:pPr>
      <w:r>
        <w:t>Перед началом фактической работы важно решить, можно ли перевозить уже готовый ССО (АСО) согласно существующим правил</w:t>
      </w:r>
      <w:r>
        <w:t>ам. Многие ССО (АСО) представляют собой опасность для здоровья или безопасности при непосредственном воздействии этого материала на человека. Надлежащая упаковка и соответствующая маркировка являются требованиями, имеющими первостепенное значение при транс</w:t>
      </w:r>
      <w:r>
        <w:t>портировании (потенциально) опасной продукции. Иногда законы или правила запрещают транспортирование материалов, имеющих определенные свойства (например, вирусы, болезни), что может означать запрет ССО (АСО) на продажу. Поэтому перед началом реального прое</w:t>
      </w:r>
      <w:r>
        <w:t>кта сертификации (аттестации) рекомендуется рассмотреть все аспекты транспортирования и упаковки.</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5.4 Отбор исходного материала </w:t>
      </w:r>
    </w:p>
    <w:p w:rsidR="00000000" w:rsidRDefault="005829C2">
      <w:pPr>
        <w:pStyle w:val="FORMATTEXT"/>
        <w:ind w:firstLine="568"/>
        <w:jc w:val="both"/>
      </w:pPr>
      <w:r>
        <w:t>Первой задачей в проекте сертификации (аттестации) является получение достаточного количества исходного материала с жел</w:t>
      </w:r>
      <w:r>
        <w:t>аемыми параметрами. В отношении матричных материалов следует отметить, что могут существовать ограничения, касающиеся параметров этих материалов. Некоторые сочетания "материал - параметр" очень редки или могут быть редкими в комбинации с другими параметрам</w:t>
      </w:r>
      <w:r>
        <w:t>и. Часто необходимо найти компромисс. В некоторых случаях эту проблему можно решить, используя методы смешивания и/или добавок.</w:t>
      </w:r>
    </w:p>
    <w:p w:rsidR="00000000" w:rsidRDefault="005829C2">
      <w:pPr>
        <w:pStyle w:val="FORMATTEXT"/>
        <w:ind w:firstLine="568"/>
        <w:jc w:val="both"/>
      </w:pPr>
    </w:p>
    <w:p w:rsidR="00000000" w:rsidRDefault="005829C2">
      <w:pPr>
        <w:pStyle w:val="FORMATTEXT"/>
        <w:ind w:firstLine="568"/>
        <w:jc w:val="both"/>
      </w:pPr>
      <w:r>
        <w:t>Количество необходимого материала определяется следующим:</w:t>
      </w:r>
    </w:p>
    <w:p w:rsidR="00000000" w:rsidRDefault="005829C2">
      <w:pPr>
        <w:pStyle w:val="FORMATTEXT"/>
        <w:ind w:firstLine="568"/>
        <w:jc w:val="both"/>
      </w:pPr>
    </w:p>
    <w:p w:rsidR="00000000" w:rsidRDefault="005829C2">
      <w:pPr>
        <w:pStyle w:val="FORMATTEXT"/>
        <w:ind w:firstLine="568"/>
        <w:jc w:val="both"/>
      </w:pPr>
      <w:r>
        <w:t>- число необходимых экземпляров (С)СО [(А)СО];</w:t>
      </w:r>
    </w:p>
    <w:p w:rsidR="00000000" w:rsidRDefault="005829C2">
      <w:pPr>
        <w:pStyle w:val="FORMATTEXT"/>
        <w:ind w:firstLine="568"/>
        <w:jc w:val="both"/>
      </w:pPr>
    </w:p>
    <w:p w:rsidR="00000000" w:rsidRDefault="005829C2">
      <w:pPr>
        <w:pStyle w:val="FORMATTEXT"/>
        <w:ind w:firstLine="568"/>
        <w:jc w:val="both"/>
      </w:pPr>
      <w:r>
        <w:t>- необходимость иссл</w:t>
      </w:r>
      <w:r>
        <w:t>едования возможности разработки (С)СО [(А)СО];</w:t>
      </w:r>
    </w:p>
    <w:p w:rsidR="00000000" w:rsidRDefault="005829C2">
      <w:pPr>
        <w:pStyle w:val="FORMATTEXT"/>
        <w:ind w:firstLine="568"/>
        <w:jc w:val="both"/>
      </w:pPr>
    </w:p>
    <w:p w:rsidR="00000000" w:rsidRDefault="005829C2">
      <w:pPr>
        <w:pStyle w:val="FORMATTEXT"/>
        <w:ind w:firstLine="568"/>
        <w:jc w:val="both"/>
      </w:pPr>
      <w:r>
        <w:t>- число проб, необходимых для исследования однородности;</w:t>
      </w:r>
    </w:p>
    <w:p w:rsidR="00000000" w:rsidRDefault="005829C2">
      <w:pPr>
        <w:pStyle w:val="FORMATTEXT"/>
        <w:ind w:firstLine="568"/>
        <w:jc w:val="both"/>
      </w:pPr>
    </w:p>
    <w:p w:rsidR="00000000" w:rsidRDefault="005829C2">
      <w:pPr>
        <w:pStyle w:val="FORMATTEXT"/>
        <w:ind w:firstLine="568"/>
        <w:jc w:val="both"/>
      </w:pPr>
      <w:r>
        <w:t>- число проб, необходимых для исследования стабильности;</w:t>
      </w:r>
    </w:p>
    <w:p w:rsidR="00000000" w:rsidRDefault="005829C2">
      <w:pPr>
        <w:pStyle w:val="FORMATTEXT"/>
        <w:ind w:firstLine="568"/>
        <w:jc w:val="both"/>
      </w:pPr>
    </w:p>
    <w:p w:rsidR="00000000" w:rsidRDefault="005829C2">
      <w:pPr>
        <w:pStyle w:val="FORMATTEXT"/>
        <w:ind w:firstLine="568"/>
        <w:jc w:val="both"/>
      </w:pPr>
      <w:r>
        <w:t xml:space="preserve">- число проб, необходимых для </w:t>
      </w:r>
      <w:proofErr w:type="spellStart"/>
      <w:r>
        <w:t>характеризации</w:t>
      </w:r>
      <w:proofErr w:type="spellEnd"/>
      <w:r>
        <w:t xml:space="preserve"> разрабатываемого ССО (АСО);</w:t>
      </w:r>
    </w:p>
    <w:p w:rsidR="00000000" w:rsidRDefault="005829C2">
      <w:pPr>
        <w:pStyle w:val="FORMATTEXT"/>
        <w:ind w:firstLine="568"/>
        <w:jc w:val="both"/>
      </w:pPr>
    </w:p>
    <w:p w:rsidR="00000000" w:rsidRDefault="005829C2">
      <w:pPr>
        <w:pStyle w:val="FORMATTEXT"/>
        <w:ind w:firstLine="568"/>
        <w:jc w:val="both"/>
      </w:pPr>
      <w:r>
        <w:t>- количество матер</w:t>
      </w:r>
      <w:r>
        <w:t>иала, необходимого для одного измерения.</w:t>
      </w:r>
    </w:p>
    <w:p w:rsidR="00000000" w:rsidRDefault="005829C2">
      <w:pPr>
        <w:pStyle w:val="FORMATTEXT"/>
        <w:ind w:firstLine="568"/>
        <w:jc w:val="both"/>
      </w:pPr>
    </w:p>
    <w:p w:rsidR="00000000" w:rsidRDefault="005829C2">
      <w:pPr>
        <w:pStyle w:val="FORMATTEXT"/>
        <w:ind w:firstLine="568"/>
        <w:jc w:val="both"/>
      </w:pPr>
      <w:r>
        <w:t>Требуемое количество проб исходного материала ССО (АСО) - это прежде всего коммерческий вопрос, и он должен быть заранее тщательно спланирован. Важным является число экземпляров ССО (АСО), которое предполагается ре</w:t>
      </w:r>
      <w:r>
        <w:t xml:space="preserve">ализовать в течение срока годности ССО (АСО). </w:t>
      </w:r>
      <w:proofErr w:type="gramStart"/>
      <w:r>
        <w:t>В связи с тем что</w:t>
      </w:r>
      <w:proofErr w:type="gramEnd"/>
      <w:r>
        <w:t xml:space="preserve"> срок годности зависит от стабильности, его величина также влияет на количество необходимого исходного материала.</w:t>
      </w:r>
    </w:p>
    <w:p w:rsidR="00000000" w:rsidRDefault="005829C2">
      <w:pPr>
        <w:pStyle w:val="FORMATTEXT"/>
        <w:ind w:firstLine="568"/>
        <w:jc w:val="both"/>
      </w:pPr>
    </w:p>
    <w:p w:rsidR="00000000" w:rsidRDefault="005829C2">
      <w:pPr>
        <w:pStyle w:val="FORMATTEXT"/>
        <w:ind w:firstLine="568"/>
        <w:jc w:val="both"/>
      </w:pPr>
      <w:r>
        <w:rPr>
          <w:b/>
          <w:bCs/>
          <w:i/>
          <w:iCs/>
        </w:rPr>
        <w:t>Пример</w:t>
      </w:r>
      <w:r>
        <w:t xml:space="preserve"> - </w:t>
      </w:r>
      <w:r>
        <w:rPr>
          <w:b/>
          <w:bCs/>
          <w:i/>
          <w:iCs/>
        </w:rPr>
        <w:t xml:space="preserve">Микробиологическим материалам свойственна ограниченная стабильность, </w:t>
      </w:r>
      <w:r>
        <w:rPr>
          <w:b/>
          <w:bCs/>
          <w:i/>
          <w:iCs/>
        </w:rPr>
        <w:t xml:space="preserve">и поэтому ожидается, что срок их годности будет короче, чем для сухой осадочной породы, сертифицированной (аттестованной) по следовым элементам. При запланированном равном числе экземпляров, которое предполагается распространить за год, число экземпляров, </w:t>
      </w:r>
      <w:r>
        <w:rPr>
          <w:b/>
          <w:bCs/>
          <w:i/>
          <w:iCs/>
        </w:rPr>
        <w:t>необходимых для микробиологического образца, будет меньше, чем для сухой осадочной породы. С другой стороны, намного больше экземпляров может потребоваться для исследования стабильности микробиологических ССО (АСО) в первый(е) год(ы) или в течение всего ср</w:t>
      </w:r>
      <w:r>
        <w:rPr>
          <w:b/>
          <w:bCs/>
          <w:i/>
          <w:iCs/>
        </w:rPr>
        <w:t>ока годности материала.</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5.5 Исследование возможности осуществления проекта </w:t>
      </w:r>
    </w:p>
    <w:p w:rsidR="00000000" w:rsidRDefault="005829C2">
      <w:pPr>
        <w:pStyle w:val="FORMATTEXT"/>
        <w:ind w:firstLine="568"/>
        <w:jc w:val="both"/>
      </w:pPr>
      <w:r>
        <w:t xml:space="preserve">В тех случаях, когда возникают сомнения относительно возможности изготовления и </w:t>
      </w:r>
      <w:proofErr w:type="spellStart"/>
      <w:r>
        <w:t>характеризации</w:t>
      </w:r>
      <w:proofErr w:type="spellEnd"/>
      <w:r>
        <w:t xml:space="preserve"> достаточно однородного и стабильного ССО (АСО), может потребоваться исследова</w:t>
      </w:r>
      <w:r>
        <w:t>ние возможности осуществления проекта [11]. Вопросы, касающиеся наилучшего способа подготовки пробы, стабильности материала или пригодности образца назначению, могут вызвать необходимость включения исследований возможности осуществления запланированных раб</w:t>
      </w:r>
      <w:r>
        <w:t xml:space="preserve">от в проект [11, 12]. Иногда исследование возможности осуществления проекта проводят для того, чтобы дать возможность лабораториям, которые, вероятно, будут участвовать в </w:t>
      </w:r>
      <w:proofErr w:type="spellStart"/>
      <w:r>
        <w:t>характеризации</w:t>
      </w:r>
      <w:proofErr w:type="spellEnd"/>
      <w:r>
        <w:t xml:space="preserve"> образца, точно настроить свое оборудование и отработать свои методы и </w:t>
      </w:r>
      <w:r>
        <w:t xml:space="preserve">процедуры. Для исследования возможности осуществления проекта относительно проведения </w:t>
      </w:r>
      <w:proofErr w:type="spellStart"/>
      <w:r>
        <w:t>характеризации</w:t>
      </w:r>
      <w:proofErr w:type="spellEnd"/>
      <w:r>
        <w:t xml:space="preserve"> рекомендуется иметь партию материала, незначительно отличающегося от исходного материала СО.</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5.6 Требуемые срок хранения и срок годности </w:t>
      </w:r>
    </w:p>
    <w:p w:rsidR="00000000" w:rsidRDefault="005829C2">
      <w:pPr>
        <w:pStyle w:val="FORMATTEXT"/>
        <w:ind w:firstLine="568"/>
        <w:jc w:val="both"/>
      </w:pPr>
      <w:r>
        <w:t>Ожидаемый</w:t>
      </w:r>
      <w:r>
        <w:t xml:space="preserve"> срок хранения СО является важным аспектом при планировании проекта сертификации (аттестации). Другим показателем, связанным со стабильностью, является срок годности ССО (АСО). В зависимости от природы механизмов, влияющих на стабильность материала, можно </w:t>
      </w:r>
      <w:r>
        <w:t>предусмотреть различные меры по улучшению срока хранения и/или срока годности.</w:t>
      </w:r>
    </w:p>
    <w:p w:rsidR="00000000" w:rsidRDefault="005829C2">
      <w:pPr>
        <w:pStyle w:val="FORMATTEXT"/>
        <w:ind w:firstLine="568"/>
        <w:jc w:val="both"/>
      </w:pPr>
    </w:p>
    <w:p w:rsidR="00000000" w:rsidRDefault="005829C2">
      <w:pPr>
        <w:pStyle w:val="FORMATTEXT"/>
        <w:ind w:firstLine="568"/>
        <w:jc w:val="both"/>
      </w:pPr>
      <w:r>
        <w:rPr>
          <w:b/>
          <w:bCs/>
          <w:i/>
          <w:iCs/>
        </w:rPr>
        <w:t>Пример</w:t>
      </w:r>
      <w:r>
        <w:t xml:space="preserve"> - </w:t>
      </w:r>
      <w:r>
        <w:rPr>
          <w:b/>
          <w:bCs/>
          <w:i/>
          <w:iCs/>
        </w:rPr>
        <w:t>Влияние воды</w:t>
      </w:r>
      <w:r>
        <w:t xml:space="preserve"> - </w:t>
      </w:r>
      <w:r>
        <w:rPr>
          <w:b/>
          <w:bCs/>
          <w:i/>
          <w:iCs/>
        </w:rPr>
        <w:t>это один из первых аспектов, требующих рассмотрения, т.к. чрезмерное высушивание или слишком высокое содержание воды может дестабилизировать материал. В</w:t>
      </w:r>
      <w:r>
        <w:rPr>
          <w:b/>
          <w:bCs/>
          <w:i/>
          <w:iCs/>
        </w:rPr>
        <w:t xml:space="preserve">о многих случаях влажность играет ключевую роль в механизмах, ведущих к нестабильности матрицы и/или параметров. В других случаях следует предусмотреть стерилизацию или пастеризацию материала для прекращения бактериальной активности. Однако эти меры могут </w:t>
      </w:r>
      <w:r>
        <w:rPr>
          <w:b/>
          <w:bCs/>
          <w:i/>
          <w:iCs/>
        </w:rPr>
        <w:t>также отрицательно влиять на стабильность.</w:t>
      </w:r>
    </w:p>
    <w:p w:rsidR="00000000" w:rsidRDefault="005829C2">
      <w:pPr>
        <w:pStyle w:val="FORMATTEXT"/>
        <w:ind w:firstLine="568"/>
        <w:jc w:val="both"/>
      </w:pPr>
    </w:p>
    <w:p w:rsidR="00000000" w:rsidRDefault="005829C2">
      <w:pPr>
        <w:pStyle w:val="FORMATTEXT"/>
        <w:ind w:firstLine="568"/>
        <w:jc w:val="both"/>
      </w:pPr>
      <w:r>
        <w:t>Необходимую информацию о стабильности и условиях хранения можно найти в литературе или получить от пользователей образцов аналогичных типов (в промышленности и т.п.). При приготовлении растворов различные добавки</w:t>
      </w:r>
      <w:r>
        <w:t xml:space="preserve"> могут увеличить срок годности и/или срок хранения. Срок годности материала зависит от условий хранения, а также от качества исследования стабильности. Последнее определяет границы экстраполяции результатов (см. 8.5).</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5.7 Приготовление образца </w:t>
      </w:r>
    </w:p>
    <w:p w:rsidR="00000000" w:rsidRDefault="005829C2">
      <w:pPr>
        <w:pStyle w:val="FORMATTEXT"/>
        <w:ind w:firstLine="568"/>
        <w:jc w:val="both"/>
      </w:pPr>
      <w:r>
        <w:rPr>
          <w:b/>
          <w:bCs/>
        </w:rPr>
        <w:t>5.7</w:t>
      </w:r>
      <w:r>
        <w:rPr>
          <w:b/>
          <w:bCs/>
        </w:rPr>
        <w:t>.1 Преамбула</w:t>
      </w:r>
    </w:p>
    <w:p w:rsidR="00000000" w:rsidRDefault="005829C2">
      <w:pPr>
        <w:pStyle w:val="FORMATTEXT"/>
        <w:ind w:firstLine="568"/>
        <w:jc w:val="both"/>
      </w:pPr>
    </w:p>
    <w:p w:rsidR="00000000" w:rsidRDefault="005829C2">
      <w:pPr>
        <w:pStyle w:val="FORMATTEXT"/>
        <w:ind w:firstLine="568"/>
        <w:jc w:val="both"/>
      </w:pPr>
      <w:r>
        <w:t>Трудно дать общее руководство по приготовлению СО. В этом подразделе предполагается дать рекомендации по некоторым конкретным аспектам, не претендуя на исчерпывающий охват. Это подборка наиболее часто встречающихся аспектов, требующих тщатель</w:t>
      </w:r>
      <w:r>
        <w:t>ного рассмотрения для успешной реализации проектов сертификации (аттестации).</w:t>
      </w:r>
    </w:p>
    <w:p w:rsidR="00000000" w:rsidRDefault="005829C2">
      <w:pPr>
        <w:pStyle w:val="FORMATTEXT"/>
        <w:ind w:firstLine="568"/>
        <w:jc w:val="both"/>
      </w:pPr>
    </w:p>
    <w:p w:rsidR="00000000" w:rsidRDefault="005829C2">
      <w:pPr>
        <w:pStyle w:val="FORMATTEXT"/>
        <w:ind w:firstLine="568"/>
        <w:jc w:val="both"/>
      </w:pPr>
      <w:r>
        <w:rPr>
          <w:b/>
          <w:bCs/>
        </w:rPr>
        <w:t>5.7.2 Синтетические материалы</w:t>
      </w:r>
    </w:p>
    <w:p w:rsidR="00000000" w:rsidRDefault="005829C2">
      <w:pPr>
        <w:pStyle w:val="FORMATTEXT"/>
        <w:ind w:firstLine="568"/>
        <w:jc w:val="both"/>
      </w:pPr>
    </w:p>
    <w:p w:rsidR="00000000" w:rsidRDefault="005829C2">
      <w:pPr>
        <w:pStyle w:val="FORMATTEXT"/>
        <w:ind w:firstLine="568"/>
        <w:jc w:val="both"/>
      </w:pPr>
      <w:r>
        <w:t>Синтетические СО, такие как чистые вещества, растворы и газовые смеси, готовятся совершенно другим способом, чем большинство матричных СО. При при</w:t>
      </w:r>
      <w:r>
        <w:t>готовлении чистых веществ для уменьшения общего количества примесей могут потребоваться методы очистки. Выбор этих методов зависит от основного исследуемого компонента и может включать перегонку и/или рекристаллизацию. После процесса разделения [при пригот</w:t>
      </w:r>
      <w:r>
        <w:t>овлении партии ССО (АСО)], партия готовится так, как описано в 5.7-5.9.</w:t>
      </w:r>
    </w:p>
    <w:p w:rsidR="00000000" w:rsidRDefault="005829C2">
      <w:pPr>
        <w:pStyle w:val="FORMATTEXT"/>
        <w:ind w:firstLine="568"/>
        <w:jc w:val="both"/>
      </w:pPr>
    </w:p>
    <w:p w:rsidR="00000000" w:rsidRDefault="005829C2">
      <w:pPr>
        <w:pStyle w:val="FORMATTEXT"/>
        <w:ind w:firstLine="568"/>
        <w:jc w:val="both"/>
      </w:pPr>
      <w:r>
        <w:t>Примечание - Многие растворы и газовые смеси готовятся с использованием методов гравиметрии, для которых можно получить хорошо установленный бюджет неопределенности. Чистота (или сост</w:t>
      </w:r>
      <w:r>
        <w:t xml:space="preserve">ав) исходных материалов входит в модель расчета </w:t>
      </w:r>
      <w:proofErr w:type="gramStart"/>
      <w:r>
        <w:t>состава</w:t>
      </w:r>
      <w:proofErr w:type="gramEnd"/>
      <w:r>
        <w:t xml:space="preserve"> изготавливаемого ССО (АСО), как </w:t>
      </w:r>
      <w:r>
        <w:lastRenderedPageBreak/>
        <w:t xml:space="preserve">и его неопределенность. Для приготовления партий образца также широко используются волюметрические методы. Обычно волюметрические методы немного проще в применении, но </w:t>
      </w:r>
      <w:r>
        <w:t>они, как правило, связаны с более высокой неопределенностью, чем гравиметрия.</w:t>
      </w:r>
    </w:p>
    <w:p w:rsidR="00000000" w:rsidRDefault="005829C2">
      <w:pPr>
        <w:pStyle w:val="FORMATTEXT"/>
        <w:ind w:firstLine="568"/>
        <w:jc w:val="both"/>
      </w:pPr>
    </w:p>
    <w:p w:rsidR="00000000" w:rsidRDefault="005829C2">
      <w:pPr>
        <w:pStyle w:val="FORMATTEXT"/>
        <w:ind w:firstLine="568"/>
        <w:jc w:val="both"/>
      </w:pPr>
      <w:r>
        <w:rPr>
          <w:b/>
          <w:bCs/>
        </w:rPr>
        <w:t>5.7.3 Смешивание материалов</w:t>
      </w:r>
    </w:p>
    <w:p w:rsidR="00000000" w:rsidRDefault="005829C2">
      <w:pPr>
        <w:pStyle w:val="FORMATTEXT"/>
        <w:ind w:firstLine="568"/>
        <w:jc w:val="both"/>
      </w:pPr>
    </w:p>
    <w:p w:rsidR="00000000" w:rsidRDefault="005829C2">
      <w:pPr>
        <w:pStyle w:val="FORMATTEXT"/>
        <w:ind w:firstLine="568"/>
        <w:jc w:val="both"/>
      </w:pPr>
      <w:r>
        <w:t>Если предполагается, что определенное значение параметра будет очень высоким или очень низким, то может рассматриваться способ смешивания двух или б</w:t>
      </w:r>
      <w:r>
        <w:t>олее матриц. Этот процесс лучше всего осуществляется с матрицами аналогичных видов, хотя понятие "аналогичный вид" может иметь широкое разнообразие значений. Для правильного смешивания материал должен быть в таком состоянии, чтобы предотвратить агломерацию</w:t>
      </w:r>
      <w:r>
        <w:t xml:space="preserve"> частиц.</w:t>
      </w:r>
    </w:p>
    <w:p w:rsidR="00000000" w:rsidRDefault="005829C2">
      <w:pPr>
        <w:pStyle w:val="FORMATTEXT"/>
        <w:ind w:firstLine="568"/>
        <w:jc w:val="both"/>
      </w:pPr>
    </w:p>
    <w:p w:rsidR="00000000" w:rsidRDefault="005829C2">
      <w:pPr>
        <w:pStyle w:val="FORMATTEXT"/>
        <w:ind w:firstLine="568"/>
        <w:jc w:val="both"/>
      </w:pPr>
      <w:r>
        <w:t>Примечание - Обычно доминирующим фактором является содержание влаги в рассматриваемых материалах. Если материал высушен на воздухе, то, как правило (но, конечно, не всегда), агломераты исчезают в процессе хорошего смешивания. Это же справедливо д</w:t>
      </w:r>
      <w:r>
        <w:t>ля материалов, которые ведут себя как суспензии. Существует потенциальная проблема, что агломераты не исчезнут во время смешивания. Некоторый уровень агломерации частиц может быть неизбежен. Например, соевый порошок, содержащий менее 2% воды, все еще клейк</w:t>
      </w:r>
      <w:r>
        <w:t>ий.</w:t>
      </w:r>
    </w:p>
    <w:p w:rsidR="00000000" w:rsidRDefault="005829C2">
      <w:pPr>
        <w:pStyle w:val="FORMATTEXT"/>
        <w:ind w:firstLine="568"/>
        <w:jc w:val="both"/>
      </w:pPr>
    </w:p>
    <w:p w:rsidR="00000000" w:rsidRDefault="005829C2">
      <w:pPr>
        <w:pStyle w:val="FORMATTEXT"/>
        <w:ind w:firstLine="568"/>
        <w:jc w:val="both"/>
      </w:pPr>
      <w:r>
        <w:t>Еще одно требование к надлежащему смешиванию состоит в том, чтобы плотность и распределение частиц смешиваемых материалов по размерам были в достаточной степени аналогичными, а распределения по размерам - достаточно узкими. Это существенно уменьшит оп</w:t>
      </w:r>
      <w:r>
        <w:t>асность сегрегации. Используя подходящую технологию и правильно применяя методы уменьшения размеров частиц и смешивания, как правило, можно получить партию материала, имеющего качественные свойства в отношении однородности и стабильности.</w:t>
      </w:r>
    </w:p>
    <w:p w:rsidR="00000000" w:rsidRDefault="005829C2">
      <w:pPr>
        <w:pStyle w:val="FORMATTEXT"/>
        <w:ind w:firstLine="568"/>
        <w:jc w:val="both"/>
      </w:pPr>
    </w:p>
    <w:p w:rsidR="00000000" w:rsidRDefault="005829C2">
      <w:pPr>
        <w:pStyle w:val="FORMATTEXT"/>
        <w:ind w:firstLine="568"/>
        <w:jc w:val="both"/>
      </w:pPr>
      <w:r>
        <w:t>В случае сомнени</w:t>
      </w:r>
      <w:r>
        <w:t xml:space="preserve">я смешанный материал можно подвергнуть быстрому исследованию однородности, когда несколько порций смешанного материала исследуется на однородность сертифицируемых (аттестуемых) параметров. Такое исследование можно провести на небольшом, но достаточном для </w:t>
      </w:r>
      <w:r>
        <w:t>получения некоторого представления об однородности числе порций.</w:t>
      </w:r>
    </w:p>
    <w:p w:rsidR="00000000" w:rsidRDefault="005829C2">
      <w:pPr>
        <w:pStyle w:val="FORMATTEXT"/>
        <w:ind w:firstLine="568"/>
        <w:jc w:val="both"/>
      </w:pPr>
    </w:p>
    <w:p w:rsidR="00000000" w:rsidRDefault="005829C2">
      <w:pPr>
        <w:pStyle w:val="FORMATTEXT"/>
        <w:ind w:firstLine="568"/>
        <w:jc w:val="both"/>
      </w:pPr>
      <w:r>
        <w:t>Примечание - Обычно считается, что 10 порций могут дать достоверные результаты для принятия решения о пригодности смешанного материала для дальнейшей обработки.</w:t>
      </w:r>
    </w:p>
    <w:p w:rsidR="00000000" w:rsidRDefault="005829C2">
      <w:pPr>
        <w:pStyle w:val="FORMATTEXT"/>
        <w:ind w:firstLine="568"/>
        <w:jc w:val="both"/>
      </w:pPr>
    </w:p>
    <w:p w:rsidR="00000000" w:rsidRDefault="005829C2">
      <w:pPr>
        <w:pStyle w:val="FORMATTEXT"/>
        <w:ind w:firstLine="568"/>
        <w:jc w:val="both"/>
      </w:pPr>
      <w:r>
        <w:rPr>
          <w:b/>
          <w:bCs/>
        </w:rPr>
        <w:t>5.7.4 Метод добавок</w:t>
      </w:r>
    </w:p>
    <w:p w:rsidR="00000000" w:rsidRDefault="005829C2">
      <w:pPr>
        <w:pStyle w:val="FORMATTEXT"/>
        <w:ind w:firstLine="568"/>
        <w:jc w:val="both"/>
      </w:pPr>
    </w:p>
    <w:p w:rsidR="00000000" w:rsidRDefault="005829C2">
      <w:pPr>
        <w:pStyle w:val="FORMATTEXT"/>
        <w:ind w:firstLine="568"/>
        <w:jc w:val="both"/>
      </w:pPr>
      <w:r>
        <w:t>В некот</w:t>
      </w:r>
      <w:r>
        <w:t>орых случаях метод добавок может рассматриваться как подходящий метод для производства СО.</w:t>
      </w:r>
    </w:p>
    <w:p w:rsidR="00000000" w:rsidRDefault="005829C2">
      <w:pPr>
        <w:pStyle w:val="FORMATTEXT"/>
        <w:ind w:firstLine="568"/>
        <w:jc w:val="both"/>
      </w:pPr>
    </w:p>
    <w:p w:rsidR="00000000" w:rsidRDefault="005829C2">
      <w:pPr>
        <w:pStyle w:val="FORMATTEXT"/>
        <w:ind w:firstLine="568"/>
        <w:jc w:val="both"/>
      </w:pPr>
      <w:r>
        <w:rPr>
          <w:b/>
          <w:bCs/>
          <w:i/>
          <w:iCs/>
        </w:rPr>
        <w:t>Примеры</w:t>
      </w:r>
    </w:p>
    <w:p w:rsidR="00000000" w:rsidRDefault="005829C2">
      <w:pPr>
        <w:pStyle w:val="FORMATTEXT"/>
        <w:ind w:firstLine="568"/>
        <w:jc w:val="both"/>
      </w:pPr>
    </w:p>
    <w:p w:rsidR="00000000" w:rsidRDefault="005829C2">
      <w:pPr>
        <w:pStyle w:val="FORMATTEXT"/>
        <w:ind w:firstLine="568"/>
        <w:jc w:val="both"/>
      </w:pPr>
      <w:r>
        <w:rPr>
          <w:b/>
          <w:bCs/>
          <w:i/>
          <w:iCs/>
        </w:rPr>
        <w:t>1 Такие случаи включают экстракты, приготовленные из твердых материалов.</w:t>
      </w:r>
    </w:p>
    <w:p w:rsidR="00000000" w:rsidRDefault="005829C2">
      <w:pPr>
        <w:pStyle w:val="FORMATTEXT"/>
        <w:ind w:firstLine="568"/>
        <w:jc w:val="both"/>
      </w:pPr>
    </w:p>
    <w:p w:rsidR="00000000" w:rsidRDefault="005829C2">
      <w:pPr>
        <w:pStyle w:val="FORMATTEXT"/>
        <w:ind w:firstLine="568"/>
        <w:jc w:val="both"/>
      </w:pPr>
      <w:r>
        <w:rPr>
          <w:b/>
          <w:bCs/>
          <w:i/>
          <w:iCs/>
        </w:rPr>
        <w:t xml:space="preserve">2 Еще одним примером может служить серия из трех ССО (АСО) содержания </w:t>
      </w:r>
      <w:proofErr w:type="spellStart"/>
      <w:r>
        <w:rPr>
          <w:b/>
          <w:bCs/>
          <w:i/>
          <w:iCs/>
        </w:rPr>
        <w:t>полихлорбиф</w:t>
      </w:r>
      <w:r>
        <w:rPr>
          <w:b/>
          <w:bCs/>
          <w:i/>
          <w:iCs/>
        </w:rPr>
        <w:t>енилов</w:t>
      </w:r>
      <w:proofErr w:type="spellEnd"/>
      <w:r>
        <w:rPr>
          <w:b/>
          <w:bCs/>
          <w:i/>
          <w:iCs/>
        </w:rPr>
        <w:t xml:space="preserve"> в свином жире, где ССО (АСО) при повышенных температурах является жидкостью.</w:t>
      </w:r>
    </w:p>
    <w:p w:rsidR="00000000" w:rsidRDefault="005829C2">
      <w:pPr>
        <w:pStyle w:val="FORMATTEXT"/>
        <w:ind w:firstLine="568"/>
        <w:jc w:val="both"/>
      </w:pPr>
    </w:p>
    <w:p w:rsidR="00000000" w:rsidRDefault="005829C2">
      <w:pPr>
        <w:pStyle w:val="FORMATTEXT"/>
        <w:ind w:firstLine="568"/>
        <w:jc w:val="both"/>
      </w:pPr>
      <w:r>
        <w:rPr>
          <w:b/>
          <w:bCs/>
          <w:i/>
          <w:iCs/>
        </w:rPr>
        <w:t>3 Другими примерами, где добавки являются хорошим методом для получения ССО (АСО) с необходимыми параметрами, являются, например, жидкости, металлы и сплавы, масла и возду</w:t>
      </w:r>
      <w:r>
        <w:rPr>
          <w:b/>
          <w:bCs/>
          <w:i/>
          <w:iCs/>
        </w:rPr>
        <w:t>х производственных помещений.</w:t>
      </w:r>
    </w:p>
    <w:p w:rsidR="00000000" w:rsidRDefault="005829C2">
      <w:pPr>
        <w:pStyle w:val="FORMATTEXT"/>
        <w:ind w:firstLine="568"/>
        <w:jc w:val="both"/>
      </w:pPr>
    </w:p>
    <w:p w:rsidR="00000000" w:rsidRDefault="005829C2">
      <w:pPr>
        <w:pStyle w:val="FORMATTEXT"/>
        <w:ind w:firstLine="568"/>
        <w:jc w:val="both"/>
      </w:pPr>
      <w:r>
        <w:t xml:space="preserve">Основная проблема при применении добавок состоит в достижении достаточной однородности и стабильности исходного материала СО. Используя подходящий метод добавок, можно получить материал, отвечающий требованиям однородности и </w:t>
      </w:r>
      <w:r>
        <w:t>стабильности даже для твердых материалов.</w:t>
      </w:r>
    </w:p>
    <w:p w:rsidR="00000000" w:rsidRDefault="005829C2">
      <w:pPr>
        <w:pStyle w:val="FORMATTEXT"/>
        <w:ind w:firstLine="568"/>
        <w:jc w:val="both"/>
      </w:pPr>
    </w:p>
    <w:p w:rsidR="00000000" w:rsidRDefault="005829C2">
      <w:pPr>
        <w:pStyle w:val="FORMATTEXT"/>
        <w:ind w:firstLine="568"/>
        <w:jc w:val="both"/>
      </w:pPr>
      <w:r>
        <w:rPr>
          <w:b/>
          <w:bCs/>
          <w:i/>
          <w:iCs/>
        </w:rPr>
        <w:t>Пример</w:t>
      </w:r>
      <w:r>
        <w:t xml:space="preserve"> - </w:t>
      </w:r>
      <w:r>
        <w:rPr>
          <w:b/>
          <w:bCs/>
          <w:i/>
          <w:iCs/>
        </w:rPr>
        <w:t>Подходящим методом добавок для твердых материалов является, например, метод "начального смачивания", когда добавляемый компонент растворяется в необходимом количестве растворителя, достаточного как раз дл</w:t>
      </w:r>
      <w:r>
        <w:rPr>
          <w:b/>
          <w:bCs/>
          <w:i/>
          <w:iCs/>
        </w:rPr>
        <w:t>я полного смачивания поверхности твердого материала. Растворитель должен быть выбран таким образом, чтобы можно было контролировать скорость его испарения. Если скорость испарения слишком высока, добавка снова может выделиться из пор и образовать скопления</w:t>
      </w:r>
      <w:r>
        <w:rPr>
          <w:b/>
          <w:bCs/>
          <w:i/>
          <w:iCs/>
        </w:rPr>
        <w:t>. В этом случае связь добавки с поверхностью не будет слишком хорошей, что влияет на стабильность материала. Слишком низкие скорости испарения могут привести к миграции других компонентов, присутствующих в матрице и даже к их потере.</w:t>
      </w:r>
    </w:p>
    <w:p w:rsidR="00000000" w:rsidRDefault="005829C2">
      <w:pPr>
        <w:pStyle w:val="FORMATTEXT"/>
        <w:ind w:firstLine="568"/>
        <w:jc w:val="both"/>
      </w:pPr>
    </w:p>
    <w:p w:rsidR="00000000" w:rsidRDefault="005829C2">
      <w:pPr>
        <w:pStyle w:val="FORMATTEXT"/>
        <w:ind w:firstLine="568"/>
        <w:jc w:val="both"/>
      </w:pPr>
      <w:r>
        <w:t xml:space="preserve">Однако для некоторых </w:t>
      </w:r>
      <w:r>
        <w:t>групп матричных СО введение добавок является очевидно неподходящим методом для получения материала с необходимыми значениями сертифицируемых (аттестуемых) параметров, т.к. он может привести к поведению СО, совершенно отличному от поведения обычных образцов</w:t>
      </w:r>
      <w:r>
        <w:t xml:space="preserve">. Как правило, могут возникнуть различия в соединениях, встречающихся в природе и добавленных </w:t>
      </w:r>
      <w:proofErr w:type="spellStart"/>
      <w:r>
        <w:t>аналитах</w:t>
      </w:r>
      <w:proofErr w:type="spellEnd"/>
      <w:r>
        <w:t>, ведущие к различиям, например, в поведении при экстракции. Поэтому следует контролировать эквивалентность добавляемого материала природным (загрязненным</w:t>
      </w:r>
      <w:r>
        <w:t>) материалам, чтобы материал был представительным по отношению к реальным пробам.</w:t>
      </w:r>
    </w:p>
    <w:p w:rsidR="00000000" w:rsidRDefault="005829C2">
      <w:pPr>
        <w:pStyle w:val="FORMATTEXT"/>
        <w:ind w:firstLine="568"/>
        <w:jc w:val="both"/>
      </w:pPr>
    </w:p>
    <w:p w:rsidR="00000000" w:rsidRDefault="005829C2">
      <w:pPr>
        <w:pStyle w:val="FORMATTEXT"/>
        <w:ind w:firstLine="568"/>
        <w:jc w:val="both"/>
      </w:pPr>
      <w:r>
        <w:rPr>
          <w:b/>
          <w:bCs/>
        </w:rPr>
        <w:t>5.7.5 Гомогенизация и деление</w:t>
      </w:r>
    </w:p>
    <w:p w:rsidR="00000000" w:rsidRDefault="005829C2">
      <w:pPr>
        <w:pStyle w:val="FORMATTEXT"/>
        <w:ind w:firstLine="568"/>
        <w:jc w:val="both"/>
      </w:pPr>
    </w:p>
    <w:p w:rsidR="00000000" w:rsidRDefault="005829C2">
      <w:pPr>
        <w:pStyle w:val="FORMATTEXT"/>
        <w:ind w:firstLine="568"/>
        <w:jc w:val="both"/>
      </w:pPr>
      <w:r>
        <w:t>Отобранный материал обычно проходит несколько подготовительных этапов перед тем, как превратиться в СО. Необходимые этапы в этом процессе вклю</w:t>
      </w:r>
      <w:r>
        <w:t>чают, например, сушку, уменьшение размеров частиц, просеивание, консервацию и деление/фасовку. На стадии планирования проекта должно быть известно, сколько времени и усилий займет приготовление образца. Например, можно приготовить отобранный материал таким</w:t>
      </w:r>
      <w:r>
        <w:t xml:space="preserve"> способом, что для измерений его можно использовать непосредственно в виде экстракта. Но во многих случаях предпочтительно, чтобы в процессе приготовления отобранный материал по возможности оставался в своем первоначальном состоянии, хотя в результате этог</w:t>
      </w:r>
      <w:r>
        <w:t>о процесса неоднородность материала должна уменьшаться, а стабильность - улучшаться.</w:t>
      </w:r>
    </w:p>
    <w:p w:rsidR="00000000" w:rsidRDefault="005829C2">
      <w:pPr>
        <w:pStyle w:val="FORMATTEXT"/>
        <w:ind w:firstLine="568"/>
        <w:jc w:val="both"/>
      </w:pPr>
    </w:p>
    <w:p w:rsidR="00000000" w:rsidRDefault="005829C2">
      <w:pPr>
        <w:pStyle w:val="FORMATTEXT"/>
        <w:ind w:firstLine="568"/>
        <w:jc w:val="both"/>
      </w:pPr>
      <w:r>
        <w:t xml:space="preserve">Выбор методов приготовления образца обусловлен требованиями к его неопределенности и к сроку хранения. Следует учитывать, что способ </w:t>
      </w:r>
      <w:proofErr w:type="gramStart"/>
      <w:r>
        <w:t>приготовления</w:t>
      </w:r>
      <w:proofErr w:type="gramEnd"/>
      <w:r>
        <w:t xml:space="preserve"> разрабатываемого СО так</w:t>
      </w:r>
      <w:r>
        <w:t>же влияет на возможное применение этого материала. Например, поставка экстракта сделает невозможной проверку точности этапа экстракции в лаборатории заказчика. Поэтому при выборе метода приготовления сырья для СО следует иметь в виду область применения это</w:t>
      </w:r>
      <w:r>
        <w:t>го ССО (АСО).</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5.8 Исследование однородности </w:t>
      </w:r>
    </w:p>
    <w:p w:rsidR="00000000" w:rsidRDefault="005829C2">
      <w:pPr>
        <w:pStyle w:val="FORMATTEXT"/>
        <w:ind w:firstLine="568"/>
        <w:jc w:val="both"/>
      </w:pPr>
      <w:r>
        <w:t>Исследование однородности необходимо при выполнении проектов сертификации (аттестации) партии для демонстрации достаточной однородности между упаковками (экземплярами) партии. Вопросы обеспечения качеств</w:t>
      </w:r>
      <w:r>
        <w:t>а имеют такое же важное значение, как и определение остаточной дисперсии между экземплярами партии, которая является составляющей частью неопределенности и подлежит включению в оценку неопределенности значения параметра ССО (АСО).</w:t>
      </w:r>
    </w:p>
    <w:p w:rsidR="00000000" w:rsidRDefault="005829C2">
      <w:pPr>
        <w:pStyle w:val="FORMATTEXT"/>
        <w:ind w:firstLine="568"/>
        <w:jc w:val="both"/>
      </w:pPr>
    </w:p>
    <w:p w:rsidR="00000000" w:rsidRDefault="005829C2">
      <w:pPr>
        <w:pStyle w:val="FORMATTEXT"/>
        <w:ind w:firstLine="568"/>
        <w:jc w:val="both"/>
      </w:pPr>
      <w:r>
        <w:t>Примечания</w:t>
      </w:r>
    </w:p>
    <w:p w:rsidR="00000000" w:rsidRDefault="005829C2">
      <w:pPr>
        <w:pStyle w:val="FORMATTEXT"/>
        <w:ind w:firstLine="568"/>
        <w:jc w:val="both"/>
      </w:pPr>
    </w:p>
    <w:p w:rsidR="00000000" w:rsidRDefault="005829C2">
      <w:pPr>
        <w:pStyle w:val="FORMATTEXT"/>
        <w:ind w:firstLine="568"/>
        <w:jc w:val="both"/>
      </w:pPr>
      <w:r>
        <w:t xml:space="preserve">1 Даже если </w:t>
      </w:r>
      <w:r>
        <w:t xml:space="preserve">ожидается, что материал однородный, как в случае с растворами, оценка </w:t>
      </w:r>
      <w:proofErr w:type="spellStart"/>
      <w:r>
        <w:t>межэкземплярной</w:t>
      </w:r>
      <w:proofErr w:type="spellEnd"/>
      <w:r>
        <w:t xml:space="preserve"> неоднородности необходима.</w:t>
      </w:r>
    </w:p>
    <w:p w:rsidR="00000000" w:rsidRDefault="005829C2">
      <w:pPr>
        <w:pStyle w:val="FORMATTEXT"/>
        <w:ind w:firstLine="568"/>
        <w:jc w:val="both"/>
      </w:pPr>
    </w:p>
    <w:p w:rsidR="00000000" w:rsidRDefault="005829C2">
      <w:pPr>
        <w:pStyle w:val="FORMATTEXT"/>
        <w:ind w:firstLine="568"/>
        <w:jc w:val="both"/>
      </w:pPr>
      <w:r>
        <w:t xml:space="preserve">2 При сертификации (аттестации) твердых СО, включая суспензии и осадки, необходимо предусмотреть исследование однородности внутри экземпляров </w:t>
      </w:r>
      <w:r>
        <w:t xml:space="preserve">для определения минимальной представительной пробы. В принципе, это исследование однородности не увеличивает неопределенность </w:t>
      </w:r>
      <w:proofErr w:type="gramStart"/>
      <w:r>
        <w:t>значения</w:t>
      </w:r>
      <w:proofErr w:type="gramEnd"/>
      <w:r>
        <w:t xml:space="preserve"> сертифицируемого (аттестуемого) параметра. Число необходимых дополнительных проб зависит преимущественно от исследования </w:t>
      </w:r>
      <w:proofErr w:type="spellStart"/>
      <w:r>
        <w:t>межэкземплярной</w:t>
      </w:r>
      <w:proofErr w:type="spellEnd"/>
      <w:r>
        <w:t xml:space="preserve"> однородности. Минимальное число произвольно выбираемых экземпляров обычно варьируется от 10 до 30, но не должно быть менее 10.</w:t>
      </w:r>
    </w:p>
    <w:p w:rsidR="00000000" w:rsidRDefault="005829C2">
      <w:pPr>
        <w:pStyle w:val="FORMATTEXT"/>
        <w:ind w:firstLine="568"/>
        <w:jc w:val="both"/>
      </w:pPr>
    </w:p>
    <w:p w:rsidR="00000000" w:rsidRDefault="005829C2">
      <w:pPr>
        <w:pStyle w:val="FORMATTEXT"/>
        <w:ind w:firstLine="568"/>
        <w:jc w:val="both"/>
      </w:pPr>
      <w:r>
        <w:t>3 Для определения оптимального числа проб для исследования однородности рекомендуются статистически обоснованные</w:t>
      </w:r>
      <w:r>
        <w:t xml:space="preserve"> методы. В таких методах обычно учитывается невозможность обнаружения какой-либо неоднородности, например, из-за неопределенности измерений. Кроме того, число экземпляров зависит от размера партии, т.к. число проб, отобранных из партии, должно считаться "п</w:t>
      </w:r>
      <w:r>
        <w:t>редставительным" для всей партии. Это требование должно быть сопоставлено с неопределенностью измерений, являющейся (в условиях повторяемости) функцией стандартного отклонения повторяемости измерений и связанной с числом параллельных измерений. Вышеупомяну</w:t>
      </w:r>
      <w:r>
        <w:t>тые статистические методы могут быть полезны в выборе лучшего похода при определении соотношения между числом экземпляров и числом параллельных измерений.</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5.9 Исследование стабильности </w:t>
      </w:r>
    </w:p>
    <w:p w:rsidR="00000000" w:rsidRDefault="005829C2">
      <w:pPr>
        <w:pStyle w:val="FORMATTEXT"/>
        <w:ind w:firstLine="568"/>
        <w:jc w:val="both"/>
      </w:pPr>
      <w:r>
        <w:t>Исследование стабильности проводится с целью определения остат</w:t>
      </w:r>
      <w:r>
        <w:t>очной степени нестабильности исходного материала СО после его приготовления или подтверждения стабильности образца. Даже "стабильные" материалы могут продемонстрировать нестабильность для одного или нескольких значений параметров. В (заданных) условиях раз</w:t>
      </w:r>
      <w:r>
        <w:t>личается стабильность:</w:t>
      </w:r>
    </w:p>
    <w:p w:rsidR="00000000" w:rsidRDefault="005829C2">
      <w:pPr>
        <w:pStyle w:val="FORMATTEXT"/>
        <w:ind w:firstLine="568"/>
        <w:jc w:val="both"/>
      </w:pPr>
    </w:p>
    <w:p w:rsidR="00000000" w:rsidRDefault="005829C2">
      <w:pPr>
        <w:pStyle w:val="FORMATTEXT"/>
        <w:ind w:firstLine="568"/>
        <w:jc w:val="both"/>
      </w:pPr>
      <w:r>
        <w:t>- при хранении (долговременная стабильность);</w:t>
      </w:r>
    </w:p>
    <w:p w:rsidR="00000000" w:rsidRDefault="005829C2">
      <w:pPr>
        <w:pStyle w:val="FORMATTEXT"/>
        <w:ind w:firstLine="568"/>
        <w:jc w:val="both"/>
      </w:pPr>
    </w:p>
    <w:p w:rsidR="00000000" w:rsidRDefault="005829C2">
      <w:pPr>
        <w:pStyle w:val="FORMATTEXT"/>
        <w:ind w:firstLine="568"/>
        <w:jc w:val="both"/>
      </w:pPr>
      <w:r>
        <w:t>- транспортировании (кратковременная стабильность).</w:t>
      </w:r>
    </w:p>
    <w:p w:rsidR="00000000" w:rsidRDefault="005829C2">
      <w:pPr>
        <w:pStyle w:val="FORMATTEXT"/>
        <w:ind w:firstLine="568"/>
        <w:jc w:val="both"/>
      </w:pPr>
    </w:p>
    <w:p w:rsidR="00000000" w:rsidRDefault="005829C2">
      <w:pPr>
        <w:pStyle w:val="FORMATTEXT"/>
        <w:ind w:firstLine="568"/>
        <w:jc w:val="both"/>
      </w:pPr>
      <w:r>
        <w:t xml:space="preserve">При определении бюджета неопределенности от эффектов нестабильности аспекты обеспечения качества так же важны, как при исследовании </w:t>
      </w:r>
      <w:r>
        <w:t>однородности. Долговременная стабильность касается остаточной нестабильности значений параметров ССО (АСО) при заданных условиях хранения. Поэтому важно определить эти условия и исследовать стабильность материала в них. Исходная температура должна быть выб</w:t>
      </w:r>
      <w:r>
        <w:t>рана таким образом, чтобы практически исключать нестабильность материала при этой температуре. Многие биологические и природные СО проявляют некоторую степень нестабильности, несмотря на все старания определить/установить оптимальные условия хранения.</w:t>
      </w:r>
    </w:p>
    <w:p w:rsidR="00000000" w:rsidRDefault="005829C2">
      <w:pPr>
        <w:pStyle w:val="FORMATTEXT"/>
        <w:ind w:firstLine="568"/>
        <w:jc w:val="both"/>
      </w:pPr>
    </w:p>
    <w:p w:rsidR="00000000" w:rsidRDefault="005829C2">
      <w:pPr>
        <w:pStyle w:val="FORMATTEXT"/>
        <w:ind w:firstLine="568"/>
        <w:jc w:val="both"/>
      </w:pPr>
      <w:r>
        <w:t>В и</w:t>
      </w:r>
      <w:r>
        <w:t>деале условия транспортирования следует выбирать таким образом, чтобы нестабильность материала во время транспортирования не превышала нестабильности хранения этого образца на полках изготовителя. Кратковременная стабильность поэтому рассматривается как со</w:t>
      </w:r>
      <w:r>
        <w:t>ставляющая неопределенности только в тех случаях, когда транспортирование ССО (АСО) (например, от изготовителя потребителю) влияет на стабильность материала больше, чем условия хранения.</w:t>
      </w:r>
    </w:p>
    <w:p w:rsidR="00000000" w:rsidRDefault="005829C2">
      <w:pPr>
        <w:pStyle w:val="FORMATTEXT"/>
        <w:ind w:firstLine="568"/>
        <w:jc w:val="both"/>
      </w:pPr>
    </w:p>
    <w:p w:rsidR="00000000" w:rsidRDefault="005829C2">
      <w:pPr>
        <w:pStyle w:val="FORMATTEXT"/>
        <w:ind w:firstLine="568"/>
        <w:jc w:val="both"/>
      </w:pPr>
      <w:r>
        <w:t>Примечания</w:t>
      </w:r>
    </w:p>
    <w:p w:rsidR="00000000" w:rsidRDefault="005829C2">
      <w:pPr>
        <w:pStyle w:val="FORMATTEXT"/>
        <w:ind w:firstLine="568"/>
        <w:jc w:val="both"/>
      </w:pPr>
    </w:p>
    <w:p w:rsidR="00000000" w:rsidRDefault="005829C2">
      <w:pPr>
        <w:pStyle w:val="FORMATTEXT"/>
        <w:ind w:firstLine="568"/>
        <w:jc w:val="both"/>
      </w:pPr>
      <w:r>
        <w:t>1 Исследование кратковременной стабильности обычно прово</w:t>
      </w:r>
      <w:r>
        <w:t>дят при разных температурах, для того чтобы изучить влияние различных температур на параметры материала. Температура образцов может изменяться во время транспортирования от минус 50°С до плюс 70°С в зависимости от вида упаковки и способа транспортирования.</w:t>
      </w:r>
      <w:r>
        <w:t xml:space="preserve"> На основе изученных влияний можно определить условия транспортирования и разработать инструкции по упаковке, эффективно устранив нежелательные побочные явления. Кратковременное исследование стабильности обычно занимает один - два месяца, но этот срок може</w:t>
      </w:r>
      <w:r>
        <w:t>т быть продлен, если одновременно устанавливаются оптимальные условия хранения.</w:t>
      </w:r>
    </w:p>
    <w:p w:rsidR="00000000" w:rsidRDefault="005829C2">
      <w:pPr>
        <w:pStyle w:val="FORMATTEXT"/>
        <w:ind w:firstLine="568"/>
        <w:jc w:val="both"/>
      </w:pPr>
    </w:p>
    <w:p w:rsidR="00000000" w:rsidRDefault="005829C2">
      <w:pPr>
        <w:pStyle w:val="FORMATTEXT"/>
        <w:ind w:firstLine="568"/>
        <w:jc w:val="both"/>
      </w:pPr>
      <w:r>
        <w:t xml:space="preserve">2 Исследование стабильности требует значительного количества экземпляров. Для каждого отдельного эксперимента желательно иметь более одного экземпляра. </w:t>
      </w:r>
      <w:proofErr w:type="gramStart"/>
      <w:r>
        <w:t>В связи с тем что</w:t>
      </w:r>
      <w:proofErr w:type="gramEnd"/>
      <w:r>
        <w:t xml:space="preserve"> больш</w:t>
      </w:r>
      <w:r>
        <w:t xml:space="preserve">инство исследований долговременной стабильности продолжаются 24-36 </w:t>
      </w:r>
      <w:proofErr w:type="spellStart"/>
      <w:r>
        <w:t>мес</w:t>
      </w:r>
      <w:proofErr w:type="spellEnd"/>
      <w:r>
        <w:t xml:space="preserve"> обычно с пятью-шестью отдельными экспериментами, для каждой температуры требуется не менее 10-12 экземпляров. Если планом предусмотрены различные температуры, число экземпляров должно б</w:t>
      </w:r>
      <w:r>
        <w:t>ыть увеличено (умножено) соответственно. Для исследования кратковременной стабильности обычно используются 3-5 отдельных экспериментов в течение двух недель. Если следовать тем же доводам, что и для исследования долговременной стабильности, то для исследов</w:t>
      </w:r>
      <w:r>
        <w:t>аний кратковременной стабильности число экземпляров будет равно 6-10 для каждой температуры. Число экземпляров, требующихся для исследования стабильности, будет зависеть от неоднородности материала. Если материал неоднороден, предпочтительно делать отдельн</w:t>
      </w:r>
      <w:r>
        <w:t>ые определения с использованием нескольких экземпляров, а не повторные определения на малом числе экземпляров.</w:t>
      </w:r>
    </w:p>
    <w:p w:rsidR="00000000" w:rsidRDefault="005829C2">
      <w:pPr>
        <w:pStyle w:val="FORMATTEXT"/>
        <w:ind w:firstLine="568"/>
        <w:jc w:val="both"/>
      </w:pPr>
    </w:p>
    <w:p w:rsidR="00000000" w:rsidRDefault="005829C2">
      <w:pPr>
        <w:pStyle w:val="FORMATTEXT"/>
        <w:ind w:firstLine="568"/>
        <w:jc w:val="both"/>
      </w:pPr>
      <w:r>
        <w:t>3 При проведении исследования стабильности для сертификации (аттестации) партии предпочтительно работать в условиях повторяемости. Иначе расчетн</w:t>
      </w:r>
      <w:r>
        <w:t xml:space="preserve">ая неопределенность от нестабильности будет излишне увеличена из-за эффектов </w:t>
      </w:r>
      <w:proofErr w:type="spellStart"/>
      <w:r>
        <w:t>воспроизводимости</w:t>
      </w:r>
      <w:proofErr w:type="spellEnd"/>
      <w:r>
        <w:t xml:space="preserve"> при исследовании стабильности. Работать в условиях повторяемости можно, используя изохронный план эксперимента [13]. Все пробы хранятся при исходной температуре,</w:t>
      </w:r>
      <w:r>
        <w:t xml:space="preserve"> при которой, как предполагается, отсутствует нестабильность (необязательно предусмотренная температура хранения). Пробы подвергаются воздействию температуры во время проведения исследований стабильности и хранятся при ней до тех пор, пока все пробы не буд</w:t>
      </w:r>
      <w:r>
        <w:t>ут измерены. Период времени эксперимента определяют временем, прошедшим с момента помещения образцов под воздействие этой температуры до момента, когда они все измерены.</w:t>
      </w:r>
    </w:p>
    <w:p w:rsidR="00000000" w:rsidRDefault="005829C2">
      <w:pPr>
        <w:pStyle w:val="FORMATTEXT"/>
        <w:ind w:firstLine="568"/>
        <w:jc w:val="both"/>
      </w:pPr>
    </w:p>
    <w:p w:rsidR="00000000" w:rsidRDefault="005829C2">
      <w:pPr>
        <w:pStyle w:val="FORMATTEXT"/>
        <w:ind w:firstLine="568"/>
        <w:jc w:val="both"/>
      </w:pPr>
      <w:r>
        <w:t>4 Для классического плана эксперимента (см. 8.2) следует выбрать метод с качественным</w:t>
      </w:r>
      <w:r>
        <w:t xml:space="preserve">и показателями </w:t>
      </w:r>
      <w:proofErr w:type="spellStart"/>
      <w:r>
        <w:t>воспроизводимости</w:t>
      </w:r>
      <w:proofErr w:type="spellEnd"/>
      <w:r>
        <w:t xml:space="preserve">. </w:t>
      </w:r>
      <w:proofErr w:type="gramStart"/>
      <w:r>
        <w:t>В связи с тем что</w:t>
      </w:r>
      <w:proofErr w:type="gramEnd"/>
      <w:r>
        <w:t xml:space="preserve"> поддерживать стабильную </w:t>
      </w:r>
      <w:proofErr w:type="spellStart"/>
      <w:r>
        <w:t>воспроизводимость</w:t>
      </w:r>
      <w:proofErr w:type="spellEnd"/>
      <w:r>
        <w:t xml:space="preserve"> метода измерений значительно сложнее, чем неизменную повторяемость во время одного эксперимента, изохронный план предпочтительнее классического плана. Кроме того,</w:t>
      </w:r>
      <w:r>
        <w:t xml:space="preserve"> неопределенность при оценке с использованием классического плана в любом случае больше, чем в изохронном случае, что означает, что срок годности, который может быть установлен при изохронном исследовании стабильности (для данного уровня неопределенности),</w:t>
      </w:r>
      <w:r>
        <w:t xml:space="preserve"> будет длиннее, чем при исследовании стабильности с использованием классического плана. Эти преимущества значительно компенсируют недостаток отсутствия данных при исследовании стабильности особенно для методов с </w:t>
      </w:r>
      <w:r>
        <w:lastRenderedPageBreak/>
        <w:t xml:space="preserve">низкими (относительно) повторяемостью и </w:t>
      </w:r>
      <w:proofErr w:type="spellStart"/>
      <w:r>
        <w:t>восп</w:t>
      </w:r>
      <w:r>
        <w:t>роизводимостью</w:t>
      </w:r>
      <w:proofErr w:type="spellEnd"/>
      <w:r>
        <w:t>. При необходимости промежуточных данных, эти измерения должны быть выполнены независимо от изохронного исследования стабильности. Однако при исследовании отдельно взятого артефакта нет другого варианта, кроме классического.</w:t>
      </w:r>
    </w:p>
    <w:p w:rsidR="00000000" w:rsidRDefault="005829C2">
      <w:pPr>
        <w:pStyle w:val="FORMATTEXT"/>
        <w:ind w:firstLine="568"/>
        <w:jc w:val="both"/>
      </w:pPr>
    </w:p>
    <w:p w:rsidR="00000000" w:rsidRDefault="005829C2">
      <w:pPr>
        <w:pStyle w:val="FORMATTEXT"/>
        <w:ind w:firstLine="568"/>
        <w:jc w:val="both"/>
      </w:pPr>
      <w:r>
        <w:t>5 Эксперименталь</w:t>
      </w:r>
      <w:r>
        <w:t>ный план исследования стабильности, включая определение оптимального числа временных точек экспериментов и числа отбираемых проб, можно осуществлять на статистической основе, допуская, например, неспособность метода измерений обнаружить любую нестабильност</w:t>
      </w:r>
      <w:r>
        <w:t xml:space="preserve">ь. </w:t>
      </w:r>
      <w:proofErr w:type="gramStart"/>
      <w:r>
        <w:t>В связи с тем что</w:t>
      </w:r>
      <w:proofErr w:type="gramEnd"/>
      <w:r>
        <w:t xml:space="preserve"> в большинстве исследований стабильности используется эмпирическая модель, число экспериментов должно быть достаточно велико, чтобы можно было оценить применимость модели. Например, для линейной модели, имеющей два показателя (точку пер</w:t>
      </w:r>
      <w:r>
        <w:t>есечения и наклон), требуется не менее трех - четырех точек и даже больше для проведения более точного оценивания. Для моделей с большим числом параметров число точек (во времени) соответственно должно быть увеличено.</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5.10 Выбор методов измерений </w:t>
      </w:r>
    </w:p>
    <w:p w:rsidR="00000000" w:rsidRDefault="005829C2">
      <w:pPr>
        <w:pStyle w:val="FORMATTEXT"/>
        <w:ind w:firstLine="568"/>
        <w:jc w:val="both"/>
      </w:pPr>
      <w:r>
        <w:t xml:space="preserve">Метод измерений, используемый для исследования однородности, должен иметь очень стабильную повторяемость и избирательность. Для исследования стабильности, когда измерения проводят в различные дни, избирательность и </w:t>
      </w:r>
      <w:proofErr w:type="spellStart"/>
      <w:r>
        <w:t>воспроизводимость</w:t>
      </w:r>
      <w:proofErr w:type="spellEnd"/>
      <w:r>
        <w:t xml:space="preserve"> метода измерений имеют </w:t>
      </w:r>
      <w:r>
        <w:t xml:space="preserve">первостепенную важность. Поэтому методы для исследований стабильности и однородности не обязательно одни и те же. Это не является проблемой при условии, что установлена </w:t>
      </w:r>
      <w:proofErr w:type="spellStart"/>
      <w:r>
        <w:t>прослеживаемость</w:t>
      </w:r>
      <w:proofErr w:type="spellEnd"/>
      <w:r>
        <w:t xml:space="preserve"> результатов исследований однородности, стабильности и </w:t>
      </w:r>
      <w:proofErr w:type="spellStart"/>
      <w:r>
        <w:t>характеризации</w:t>
      </w:r>
      <w:proofErr w:type="spellEnd"/>
      <w:r>
        <w:t xml:space="preserve"> к</w:t>
      </w:r>
      <w:r>
        <w:t xml:space="preserve"> общим опорным значениям. Таким опорным значением может быть образец, подходящий для оценивания различных градуировок и результатов, полученных с помощью различных методов. Обеспечение </w:t>
      </w:r>
      <w:proofErr w:type="spellStart"/>
      <w:r>
        <w:t>прослеживаемости</w:t>
      </w:r>
      <w:proofErr w:type="spellEnd"/>
      <w:r>
        <w:t xml:space="preserve"> результатов всех измерений в проекте сертификации (атт</w:t>
      </w:r>
      <w:r>
        <w:t>естации) является важным требованием [10], [14].</w:t>
      </w:r>
    </w:p>
    <w:p w:rsidR="00000000" w:rsidRDefault="005829C2">
      <w:pPr>
        <w:pStyle w:val="FORMATTEXT"/>
        <w:ind w:firstLine="568"/>
        <w:jc w:val="both"/>
      </w:pPr>
    </w:p>
    <w:p w:rsidR="00000000" w:rsidRDefault="005829C2">
      <w:pPr>
        <w:pStyle w:val="FORMATTEXT"/>
        <w:ind w:firstLine="568"/>
        <w:jc w:val="both"/>
      </w:pPr>
      <w:r>
        <w:t>Для </w:t>
      </w:r>
      <w:proofErr w:type="spellStart"/>
      <w:r>
        <w:t>характеризации</w:t>
      </w:r>
      <w:proofErr w:type="spellEnd"/>
      <w:r>
        <w:t xml:space="preserve"> разрабатываемого СО, особенно матричных СО, часто наиболее предпочтительно использование нескольких методов, а также привлечение нескольких лабораторий. Как методы, так и квалификация лаб</w:t>
      </w:r>
      <w:r>
        <w:t xml:space="preserve">ораторий должны представлять "последнее слово науки и техники", а измерения - иметь </w:t>
      </w:r>
      <w:proofErr w:type="spellStart"/>
      <w:r>
        <w:t>прослеживаемость</w:t>
      </w:r>
      <w:proofErr w:type="spellEnd"/>
      <w:r>
        <w:t xml:space="preserve"> к опорным средствам сравнения, указанным в плане проекта.</w:t>
      </w:r>
    </w:p>
    <w:p w:rsidR="00000000" w:rsidRDefault="005829C2">
      <w:pPr>
        <w:pStyle w:val="FORMATTEXT"/>
        <w:ind w:firstLine="568"/>
        <w:jc w:val="both"/>
      </w:pPr>
    </w:p>
    <w:p w:rsidR="00000000" w:rsidRDefault="005829C2">
      <w:pPr>
        <w:pStyle w:val="FORMATTEXT"/>
        <w:ind w:firstLine="568"/>
        <w:jc w:val="both"/>
      </w:pPr>
      <w:proofErr w:type="spellStart"/>
      <w:r>
        <w:t>Характеризация</w:t>
      </w:r>
      <w:proofErr w:type="spellEnd"/>
      <w:r>
        <w:t> исходного материала СО может происходить различными путями. Существуют два основн</w:t>
      </w:r>
      <w:r>
        <w:t>ых подхода:</w:t>
      </w:r>
    </w:p>
    <w:p w:rsidR="00000000" w:rsidRDefault="005829C2">
      <w:pPr>
        <w:pStyle w:val="FORMATTEXT"/>
        <w:ind w:firstLine="568"/>
        <w:jc w:val="both"/>
      </w:pPr>
    </w:p>
    <w:p w:rsidR="00000000" w:rsidRDefault="005829C2">
      <w:pPr>
        <w:pStyle w:val="FORMATTEXT"/>
        <w:ind w:firstLine="568"/>
        <w:jc w:val="both"/>
      </w:pPr>
      <w:r>
        <w:t>a) </w:t>
      </w:r>
      <w:proofErr w:type="spellStart"/>
      <w:r>
        <w:t>характеризация</w:t>
      </w:r>
      <w:proofErr w:type="spellEnd"/>
      <w:r>
        <w:t xml:space="preserve"> отдельным методом;</w:t>
      </w:r>
    </w:p>
    <w:p w:rsidR="00000000" w:rsidRDefault="005829C2">
      <w:pPr>
        <w:pStyle w:val="FORMATTEXT"/>
        <w:ind w:firstLine="568"/>
        <w:jc w:val="both"/>
      </w:pPr>
    </w:p>
    <w:p w:rsidR="00000000" w:rsidRDefault="005829C2">
      <w:pPr>
        <w:pStyle w:val="FORMATTEXT"/>
        <w:ind w:firstLine="568"/>
        <w:jc w:val="both"/>
      </w:pPr>
      <w:r>
        <w:t>b) </w:t>
      </w:r>
      <w:proofErr w:type="spellStart"/>
      <w:r>
        <w:t>характеризация</w:t>
      </w:r>
      <w:proofErr w:type="spellEnd"/>
      <w:r>
        <w:t xml:space="preserve"> несколькими методами и/или несколькими лабораториями.</w:t>
      </w:r>
    </w:p>
    <w:p w:rsidR="00000000" w:rsidRDefault="005829C2">
      <w:pPr>
        <w:pStyle w:val="FORMATTEXT"/>
        <w:ind w:firstLine="568"/>
        <w:jc w:val="both"/>
      </w:pPr>
    </w:p>
    <w:p w:rsidR="00000000" w:rsidRDefault="005829C2">
      <w:pPr>
        <w:pStyle w:val="FORMATTEXT"/>
        <w:ind w:firstLine="568"/>
        <w:jc w:val="both"/>
      </w:pPr>
      <w:r>
        <w:t>Подход b) включает экспериментальные модели, известные как совместное исследование или совместный эксперимент. Оба названия отражают</w:t>
      </w:r>
      <w:r>
        <w:t xml:space="preserve"> общие усилия координатора и участников, прилагаемые к </w:t>
      </w:r>
      <w:proofErr w:type="spellStart"/>
      <w:r>
        <w:t>характеризации</w:t>
      </w:r>
      <w:proofErr w:type="spellEnd"/>
      <w:r>
        <w:t xml:space="preserve"> СО. В любом случае методы измерений, используемые при </w:t>
      </w:r>
      <w:proofErr w:type="spellStart"/>
      <w:r>
        <w:t>характеризации</w:t>
      </w:r>
      <w:proofErr w:type="spellEnd"/>
      <w:r>
        <w:t xml:space="preserve">, должны иметь </w:t>
      </w:r>
      <w:proofErr w:type="spellStart"/>
      <w:r>
        <w:t>прослеживаемость</w:t>
      </w:r>
      <w:proofErr w:type="spellEnd"/>
      <w:r>
        <w:t xml:space="preserve"> к "установленным опорным точкам", предпочтительно к единицам </w:t>
      </w:r>
      <w:proofErr w:type="spellStart"/>
      <w:r>
        <w:t>cистемы</w:t>
      </w:r>
      <w:proofErr w:type="spellEnd"/>
      <w:r>
        <w:t xml:space="preserve"> СИ. Аспект </w:t>
      </w:r>
      <w:proofErr w:type="spellStart"/>
      <w:r>
        <w:t>просле</w:t>
      </w:r>
      <w:r>
        <w:t>живаемости</w:t>
      </w:r>
      <w:proofErr w:type="spellEnd"/>
      <w:r>
        <w:t xml:space="preserve"> результатов измерений выходит далеко за рамки только измерений он также включает преобразование пробы. Преобразование пробы означает, что образец (или артефакт) преобразуется из одного (физического, химического) состояния в другое. Примерами так</w:t>
      </w:r>
      <w:r>
        <w:t>их преобразований пробы могут служить разрушение этой пробы и экстракция измеряемых компонентов.</w:t>
      </w:r>
    </w:p>
    <w:p w:rsidR="00000000" w:rsidRDefault="005829C2">
      <w:pPr>
        <w:pStyle w:val="FORMATTEXT"/>
        <w:ind w:firstLine="568"/>
        <w:jc w:val="both"/>
      </w:pPr>
    </w:p>
    <w:p w:rsidR="00000000" w:rsidRDefault="005829C2">
      <w:pPr>
        <w:pStyle w:val="FORMATTEXT"/>
        <w:ind w:firstLine="568"/>
        <w:jc w:val="both"/>
      </w:pPr>
      <w:r>
        <w:t xml:space="preserve">И наконец, измерения при исследованиях однородности, стабильности и </w:t>
      </w:r>
      <w:proofErr w:type="spellStart"/>
      <w:r>
        <w:t>характеризации</w:t>
      </w:r>
      <w:proofErr w:type="spellEnd"/>
      <w:r>
        <w:t xml:space="preserve"> материала должны быть объединены для получения правильной оценки значения п</w:t>
      </w:r>
      <w:r>
        <w:t>араметра и его стандартной неопределенности. Полученные данные должны относиться к одной и той же "шкале", т.е. все измерения выполняются с применением соответственно откалиброванного оборудования, а результаты этих калибровок должны быть сравнимы между со</w:t>
      </w:r>
      <w:r>
        <w:t>бой. В частности, при привлечении дополнительных лабораторий это позволило бы использовать определенный вид опорного вещества, смеси или раствора для подтверждения согласованности между результатами калибровок. Этот аспект является частично вопросом правил</w:t>
      </w:r>
      <w:r>
        <w:t xml:space="preserve">ьного выбора опорных средств сравнения и установления таким образом метрологической </w:t>
      </w:r>
      <w:proofErr w:type="spellStart"/>
      <w:r>
        <w:t>прослеживаемости</w:t>
      </w:r>
      <w:proofErr w:type="spellEnd"/>
      <w:r>
        <w:t>, а частично - вопросом способности демонстрировать достоверность и сравнимость результатов, полученных на различных стадиях проекта.</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5.11 Сертифика</w:t>
      </w:r>
      <w:r>
        <w:rPr>
          <w:b/>
          <w:bCs/>
          <w:color w:val="000001"/>
        </w:rPr>
        <w:t xml:space="preserve">ция (аттестация) </w:t>
      </w:r>
    </w:p>
    <w:p w:rsidR="00000000" w:rsidRDefault="005829C2">
      <w:pPr>
        <w:pStyle w:val="FORMATTEXT"/>
        <w:ind w:firstLine="568"/>
        <w:jc w:val="both"/>
      </w:pPr>
      <w:r>
        <w:lastRenderedPageBreak/>
        <w:t>Сертификация (аттестация) ССО (АСО) описана в разделе 11.</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5.12 Краткое изложение плана проекта </w:t>
      </w:r>
    </w:p>
    <w:p w:rsidR="00000000" w:rsidRDefault="005829C2">
      <w:pPr>
        <w:pStyle w:val="FORMATTEXT"/>
        <w:ind w:firstLine="568"/>
        <w:jc w:val="both"/>
      </w:pPr>
      <w:r>
        <w:t>Таким образом, приготовление СО включает следующие этапы:</w:t>
      </w:r>
    </w:p>
    <w:p w:rsidR="00000000" w:rsidRDefault="005829C2">
      <w:pPr>
        <w:pStyle w:val="FORMATTEXT"/>
        <w:ind w:firstLine="568"/>
        <w:jc w:val="both"/>
      </w:pPr>
    </w:p>
    <w:p w:rsidR="00000000" w:rsidRDefault="005829C2">
      <w:pPr>
        <w:pStyle w:val="FORMATTEXT"/>
        <w:ind w:firstLine="568"/>
        <w:jc w:val="both"/>
      </w:pPr>
      <w:r>
        <w:t>- определение материала СО, т.е. матрицы и параметров, подлежащих сертифика</w:t>
      </w:r>
      <w:r>
        <w:t>ции (аттестации) и их желаемых уровней и уровня неопределенности;</w:t>
      </w:r>
    </w:p>
    <w:p w:rsidR="00000000" w:rsidRDefault="005829C2">
      <w:pPr>
        <w:pStyle w:val="FORMATTEXT"/>
        <w:ind w:firstLine="568"/>
        <w:jc w:val="both"/>
      </w:pPr>
    </w:p>
    <w:p w:rsidR="00000000" w:rsidRDefault="005829C2">
      <w:pPr>
        <w:pStyle w:val="FORMATTEXT"/>
        <w:ind w:firstLine="568"/>
        <w:jc w:val="both"/>
      </w:pPr>
      <w:r>
        <w:t>- планирование процедуры отбора проб;</w:t>
      </w:r>
    </w:p>
    <w:p w:rsidR="00000000" w:rsidRDefault="005829C2">
      <w:pPr>
        <w:pStyle w:val="FORMATTEXT"/>
        <w:ind w:firstLine="568"/>
        <w:jc w:val="both"/>
      </w:pPr>
    </w:p>
    <w:p w:rsidR="00000000" w:rsidRDefault="005829C2">
      <w:pPr>
        <w:pStyle w:val="FORMATTEXT"/>
        <w:ind w:firstLine="568"/>
        <w:jc w:val="both"/>
      </w:pPr>
      <w:r>
        <w:t>- планирование процедуры приготовления проб;</w:t>
      </w:r>
    </w:p>
    <w:p w:rsidR="00000000" w:rsidRDefault="005829C2">
      <w:pPr>
        <w:pStyle w:val="FORMATTEXT"/>
        <w:ind w:firstLine="568"/>
        <w:jc w:val="both"/>
      </w:pPr>
    </w:p>
    <w:p w:rsidR="00000000" w:rsidRDefault="005829C2">
      <w:pPr>
        <w:pStyle w:val="FORMATTEXT"/>
        <w:ind w:firstLine="568"/>
        <w:jc w:val="both"/>
      </w:pPr>
      <w:r>
        <w:t>- выбор методов измерений, подходящих для исследования однородности и стабильности;</w:t>
      </w:r>
    </w:p>
    <w:p w:rsidR="00000000" w:rsidRDefault="005829C2">
      <w:pPr>
        <w:pStyle w:val="FORMATTEXT"/>
        <w:ind w:firstLine="568"/>
        <w:jc w:val="both"/>
      </w:pPr>
    </w:p>
    <w:p w:rsidR="00000000" w:rsidRDefault="005829C2">
      <w:pPr>
        <w:pStyle w:val="FORMATTEXT"/>
        <w:ind w:firstLine="568"/>
        <w:jc w:val="both"/>
      </w:pPr>
      <w:r>
        <w:t xml:space="preserve">- планирование </w:t>
      </w:r>
      <w:proofErr w:type="spellStart"/>
      <w:r>
        <w:t>хара</w:t>
      </w:r>
      <w:r>
        <w:t>ктеризации</w:t>
      </w:r>
      <w:proofErr w:type="spellEnd"/>
      <w:r>
        <w:t xml:space="preserve"> СО;</w:t>
      </w:r>
    </w:p>
    <w:p w:rsidR="00000000" w:rsidRDefault="005829C2">
      <w:pPr>
        <w:pStyle w:val="FORMATTEXT"/>
        <w:ind w:firstLine="568"/>
        <w:jc w:val="both"/>
      </w:pPr>
    </w:p>
    <w:p w:rsidR="00000000" w:rsidRDefault="005829C2">
      <w:pPr>
        <w:pStyle w:val="FORMATTEXT"/>
        <w:ind w:firstLine="568"/>
        <w:jc w:val="both"/>
      </w:pPr>
      <w:r>
        <w:t>- отбор проб;</w:t>
      </w:r>
    </w:p>
    <w:p w:rsidR="00000000" w:rsidRDefault="005829C2">
      <w:pPr>
        <w:pStyle w:val="FORMATTEXT"/>
        <w:ind w:firstLine="568"/>
        <w:jc w:val="both"/>
      </w:pPr>
    </w:p>
    <w:p w:rsidR="00000000" w:rsidRDefault="005829C2">
      <w:pPr>
        <w:pStyle w:val="FORMATTEXT"/>
        <w:ind w:firstLine="568"/>
        <w:jc w:val="both"/>
      </w:pPr>
      <w:r>
        <w:t>- подготовка проб;</w:t>
      </w:r>
    </w:p>
    <w:p w:rsidR="00000000" w:rsidRDefault="005829C2">
      <w:pPr>
        <w:pStyle w:val="FORMATTEXT"/>
        <w:ind w:firstLine="568"/>
        <w:jc w:val="both"/>
      </w:pPr>
    </w:p>
    <w:p w:rsidR="00000000" w:rsidRDefault="005829C2">
      <w:pPr>
        <w:pStyle w:val="FORMATTEXT"/>
        <w:ind w:firstLine="568"/>
        <w:jc w:val="both"/>
      </w:pPr>
      <w:r>
        <w:t xml:space="preserve">- выбор методов, подходящих для </w:t>
      </w:r>
      <w:proofErr w:type="spellStart"/>
      <w:r>
        <w:t>характеризации</w:t>
      </w:r>
      <w:proofErr w:type="spellEnd"/>
      <w:r>
        <w:t>;</w:t>
      </w:r>
    </w:p>
    <w:p w:rsidR="00000000" w:rsidRDefault="005829C2">
      <w:pPr>
        <w:pStyle w:val="FORMATTEXT"/>
        <w:ind w:firstLine="568"/>
        <w:jc w:val="both"/>
      </w:pPr>
    </w:p>
    <w:p w:rsidR="00000000" w:rsidRDefault="005829C2">
      <w:pPr>
        <w:pStyle w:val="FORMATTEXT"/>
        <w:ind w:firstLine="568"/>
        <w:jc w:val="both"/>
      </w:pPr>
      <w:r>
        <w:t>- исследование однородности;</w:t>
      </w:r>
    </w:p>
    <w:p w:rsidR="00000000" w:rsidRDefault="005829C2">
      <w:pPr>
        <w:pStyle w:val="FORMATTEXT"/>
        <w:ind w:firstLine="568"/>
        <w:jc w:val="both"/>
      </w:pPr>
    </w:p>
    <w:p w:rsidR="00000000" w:rsidRDefault="005829C2">
      <w:pPr>
        <w:pStyle w:val="FORMATTEXT"/>
        <w:ind w:firstLine="568"/>
        <w:jc w:val="both"/>
      </w:pPr>
      <w:r>
        <w:t>- исследование стабильности;</w:t>
      </w:r>
    </w:p>
    <w:p w:rsidR="00000000" w:rsidRDefault="005829C2">
      <w:pPr>
        <w:pStyle w:val="FORMATTEXT"/>
        <w:ind w:firstLine="568"/>
        <w:jc w:val="both"/>
      </w:pPr>
    </w:p>
    <w:p w:rsidR="00000000" w:rsidRDefault="005829C2">
      <w:pPr>
        <w:pStyle w:val="FORMATTEXT"/>
        <w:ind w:firstLine="568"/>
        <w:jc w:val="both"/>
      </w:pPr>
      <w:r>
        <w:t>- </w:t>
      </w:r>
      <w:proofErr w:type="spellStart"/>
      <w:r>
        <w:t>характеризация</w:t>
      </w:r>
      <w:proofErr w:type="spellEnd"/>
      <w:r>
        <w:t xml:space="preserve"> СО;</w:t>
      </w:r>
    </w:p>
    <w:p w:rsidR="00000000" w:rsidRDefault="005829C2">
      <w:pPr>
        <w:pStyle w:val="FORMATTEXT"/>
        <w:ind w:firstLine="568"/>
        <w:jc w:val="both"/>
      </w:pPr>
    </w:p>
    <w:p w:rsidR="00000000" w:rsidRDefault="005829C2">
      <w:pPr>
        <w:pStyle w:val="FORMATTEXT"/>
        <w:ind w:firstLine="568"/>
        <w:jc w:val="both"/>
      </w:pPr>
      <w:r>
        <w:t xml:space="preserve">- объединение результатов исследования однородности, стабильности и </w:t>
      </w:r>
      <w:proofErr w:type="spellStart"/>
      <w:r>
        <w:t>характ</w:t>
      </w:r>
      <w:r>
        <w:t>еризации</w:t>
      </w:r>
      <w:proofErr w:type="spellEnd"/>
      <w:r>
        <w:t>, включая полную оценку неопределенности измерений;</w:t>
      </w:r>
    </w:p>
    <w:p w:rsidR="00000000" w:rsidRDefault="005829C2">
      <w:pPr>
        <w:pStyle w:val="FORMATTEXT"/>
        <w:ind w:firstLine="568"/>
        <w:jc w:val="both"/>
      </w:pPr>
    </w:p>
    <w:p w:rsidR="00000000" w:rsidRDefault="005829C2">
      <w:pPr>
        <w:pStyle w:val="FORMATTEXT"/>
        <w:ind w:firstLine="568"/>
        <w:jc w:val="both"/>
      </w:pPr>
      <w:r>
        <w:t>- подготовка сертификата (паспорта) СО и при необходимости отчета о сертификации (отчета об аттестации).</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w:t>
      </w: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6 Оценка неопределенности измерений</w:t>
      </w: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6.1 Основные положения по оцен</w:t>
      </w:r>
      <w:r>
        <w:rPr>
          <w:b/>
          <w:bCs/>
          <w:color w:val="000001"/>
        </w:rPr>
        <w:t xml:space="preserve">ке неопределенности значения параметра (С)СО [(А)СО] </w:t>
      </w:r>
    </w:p>
    <w:p w:rsidR="00000000" w:rsidRDefault="005829C2">
      <w:pPr>
        <w:pStyle w:val="FORMATTEXT"/>
        <w:ind w:firstLine="568"/>
        <w:jc w:val="both"/>
      </w:pPr>
      <w:r>
        <w:t xml:space="preserve">Основой для любой оценки неопределенности измерений является GUM. В большинстве проектов, ведущих к выпуску ССО (АСО), можно использовать подход, изложенный в разделе 8 GUM. Для ССО (АСО) эта процедура </w:t>
      </w:r>
      <w:r>
        <w:t>может быть кратко изложена следующим образом:</w:t>
      </w:r>
    </w:p>
    <w:p w:rsidR="00000000" w:rsidRDefault="005829C2">
      <w:pPr>
        <w:pStyle w:val="FORMATTEXT"/>
        <w:ind w:firstLine="568"/>
        <w:jc w:val="both"/>
      </w:pPr>
    </w:p>
    <w:p w:rsidR="00000000" w:rsidRDefault="005829C2">
      <w:pPr>
        <w:pStyle w:val="FORMATTEXT"/>
        <w:ind w:firstLine="568"/>
        <w:jc w:val="both"/>
      </w:pPr>
      <w:r>
        <w:t xml:space="preserve">a) Выразите соотношение между сертифицируемым (аттестуемым) значением параметра и всеми входными величинами, от которых функционально зависит значение параметра. Функциональная зависимость должна включать все </w:t>
      </w:r>
      <w:r>
        <w:t>величины, которые могут внести значительный вклад в суммарную стандартную неопределенность значения параметра, она называется моделью измерений.</w:t>
      </w:r>
    </w:p>
    <w:p w:rsidR="00000000" w:rsidRDefault="005829C2">
      <w:pPr>
        <w:pStyle w:val="FORMATTEXT"/>
        <w:ind w:firstLine="568"/>
        <w:jc w:val="both"/>
      </w:pPr>
    </w:p>
    <w:p w:rsidR="00000000" w:rsidRDefault="005829C2">
      <w:pPr>
        <w:pStyle w:val="FORMATTEXT"/>
        <w:ind w:firstLine="568"/>
        <w:jc w:val="both"/>
      </w:pPr>
      <w:r>
        <w:t>b) Определите значения для всех входных величин либо на основе статистического анализа серии данных, либо иным</w:t>
      </w:r>
      <w:r>
        <w:t>и способами.</w:t>
      </w:r>
    </w:p>
    <w:p w:rsidR="00000000" w:rsidRDefault="005829C2">
      <w:pPr>
        <w:pStyle w:val="FORMATTEXT"/>
        <w:ind w:firstLine="568"/>
        <w:jc w:val="both"/>
      </w:pPr>
    </w:p>
    <w:p w:rsidR="00000000" w:rsidRDefault="005829C2">
      <w:pPr>
        <w:pStyle w:val="FORMATTEXT"/>
        <w:ind w:firstLine="568"/>
        <w:jc w:val="both"/>
      </w:pPr>
      <w:r>
        <w:t>c) Проведите оценку стандартной неопределенности для всех входных величин, используя оценку по типу А для величин, полученных в результате статистического анализа данных, или оценку по типу В для всех остальных величин.</w:t>
      </w:r>
    </w:p>
    <w:p w:rsidR="00000000" w:rsidRDefault="005829C2">
      <w:pPr>
        <w:pStyle w:val="FORMATTEXT"/>
        <w:ind w:firstLine="568"/>
        <w:jc w:val="both"/>
      </w:pPr>
    </w:p>
    <w:p w:rsidR="00000000" w:rsidRDefault="005829C2">
      <w:pPr>
        <w:pStyle w:val="FORMATTEXT"/>
        <w:ind w:firstLine="568"/>
        <w:jc w:val="both"/>
      </w:pPr>
      <w:r>
        <w:t>d) Оцените ковариации</w:t>
      </w:r>
      <w:r>
        <w:t>, связанные с любыми входными величинами.</w:t>
      </w:r>
    </w:p>
    <w:p w:rsidR="00000000" w:rsidRDefault="005829C2">
      <w:pPr>
        <w:pStyle w:val="FORMATTEXT"/>
        <w:ind w:firstLine="568"/>
        <w:jc w:val="both"/>
      </w:pPr>
    </w:p>
    <w:p w:rsidR="00000000" w:rsidRDefault="005829C2">
      <w:pPr>
        <w:pStyle w:val="FORMATTEXT"/>
        <w:ind w:firstLine="568"/>
        <w:jc w:val="both"/>
      </w:pPr>
      <w:r>
        <w:t xml:space="preserve">e) Рассчитайте значение параметра </w:t>
      </w:r>
      <w:r>
        <w:rPr>
          <w:i/>
          <w:iCs/>
        </w:rPr>
        <w:t>х</w:t>
      </w:r>
      <w:r>
        <w:t>, т.е. значение сертифицируемой (аттестуемой) характеристики.</w:t>
      </w:r>
    </w:p>
    <w:p w:rsidR="00000000" w:rsidRDefault="005829C2">
      <w:pPr>
        <w:pStyle w:val="FORMATTEXT"/>
        <w:ind w:firstLine="568"/>
        <w:jc w:val="both"/>
      </w:pPr>
    </w:p>
    <w:p w:rsidR="00000000" w:rsidRDefault="005829C2">
      <w:pPr>
        <w:pStyle w:val="FORMATTEXT"/>
        <w:ind w:firstLine="568"/>
        <w:jc w:val="both"/>
      </w:pPr>
      <w:r>
        <w:t xml:space="preserve">f) Определите суммарную стандартную неопределенность, связанную со значением параметра, </w:t>
      </w:r>
      <w:r>
        <w:lastRenderedPageBreak/>
        <w:t>с учетом стандартных неопре</w:t>
      </w:r>
      <w:r>
        <w:t>деленностей и ковариаций, связанных с входными величинами, используя формулу распределения неопределенностей, как указано в разделе 5 GUM.</w:t>
      </w:r>
    </w:p>
    <w:p w:rsidR="00000000" w:rsidRDefault="005829C2">
      <w:pPr>
        <w:pStyle w:val="FORMATTEXT"/>
        <w:ind w:firstLine="568"/>
        <w:jc w:val="both"/>
      </w:pPr>
    </w:p>
    <w:p w:rsidR="00000000" w:rsidRDefault="005829C2">
      <w:pPr>
        <w:pStyle w:val="FORMATTEXT"/>
        <w:ind w:firstLine="568"/>
        <w:jc w:val="both"/>
      </w:pPr>
      <w:r>
        <w:t xml:space="preserve">g) Определите коэффициент охвата </w:t>
      </w:r>
      <w:r>
        <w:rPr>
          <w:i/>
          <w:iCs/>
        </w:rPr>
        <w:t>k</w:t>
      </w:r>
      <w:r>
        <w:t xml:space="preserve"> для получения расширенной неопределенности </w:t>
      </w:r>
      <w:r>
        <w:rPr>
          <w:i/>
          <w:iCs/>
        </w:rPr>
        <w:t>U</w:t>
      </w:r>
      <w:r>
        <w:rPr>
          <w:b/>
          <w:bCs/>
        </w:rPr>
        <w:t>,</w:t>
      </w:r>
      <w:r>
        <w:t xml:space="preserve"> для которого допускается, что интер</w:t>
      </w:r>
      <w:r>
        <w:t>вал [</w:t>
      </w:r>
      <w:r>
        <w:rPr>
          <w:i/>
          <w:iCs/>
        </w:rPr>
        <w:t>х</w:t>
      </w:r>
      <w:r>
        <w:t>-</w:t>
      </w:r>
      <w:r>
        <w:rPr>
          <w:i/>
          <w:iCs/>
        </w:rPr>
        <w:t xml:space="preserve">U, </w:t>
      </w:r>
      <w:proofErr w:type="spellStart"/>
      <w:r>
        <w:rPr>
          <w:i/>
          <w:iCs/>
        </w:rPr>
        <w:t>х+U</w:t>
      </w:r>
      <w:proofErr w:type="spellEnd"/>
      <w:r>
        <w:t>] содержит большую долю распределения значений, которые обоснованно можно приписать сертифицируемой (аттестуемой) характеристике. При выборе коэффициента охвата необходимо учитывать требуемый доверительный уровень (часто 95%), функции плотност</w:t>
      </w:r>
      <w:r>
        <w:t>и распределения и (при необходимости) число степеней свободы.</w:t>
      </w:r>
    </w:p>
    <w:p w:rsidR="00000000" w:rsidRDefault="005829C2">
      <w:pPr>
        <w:pStyle w:val="FORMATTEXT"/>
        <w:ind w:firstLine="568"/>
        <w:jc w:val="both"/>
      </w:pPr>
    </w:p>
    <w:p w:rsidR="00000000" w:rsidRDefault="005829C2">
      <w:pPr>
        <w:pStyle w:val="FORMATTEXT"/>
        <w:ind w:firstLine="568"/>
        <w:jc w:val="both"/>
      </w:pPr>
      <w:r>
        <w:t xml:space="preserve">h) Значение параметра должно быть представлено вместе с расширенной неопределенностью </w:t>
      </w:r>
      <w:r>
        <w:rPr>
          <w:i/>
          <w:iCs/>
        </w:rPr>
        <w:t>U</w:t>
      </w:r>
      <w:r>
        <w:t xml:space="preserve"> и коэффициентом охвата </w:t>
      </w:r>
      <w:r>
        <w:rPr>
          <w:i/>
          <w:iCs/>
        </w:rPr>
        <w:t>k,</w:t>
      </w:r>
      <w:r>
        <w:t xml:space="preserve"> в соответствии с рекомендациями ISO </w:t>
      </w:r>
      <w:proofErr w:type="spellStart"/>
      <w:r>
        <w:t>Guide</w:t>
      </w:r>
      <w:proofErr w:type="spellEnd"/>
      <w:r>
        <w:t xml:space="preserve"> 31.</w:t>
      </w:r>
    </w:p>
    <w:p w:rsidR="00000000" w:rsidRDefault="005829C2">
      <w:pPr>
        <w:pStyle w:val="FORMATTEXT"/>
        <w:ind w:firstLine="568"/>
        <w:jc w:val="both"/>
      </w:pPr>
    </w:p>
    <w:p w:rsidR="00000000" w:rsidRDefault="005829C2">
      <w:pPr>
        <w:pStyle w:val="FORMATTEXT"/>
        <w:ind w:firstLine="568"/>
        <w:jc w:val="both"/>
      </w:pPr>
      <w:r>
        <w:t>В подавляющем большинстве случае</w:t>
      </w:r>
      <w:r>
        <w:t>в можно следовать этому подходу. Однако есть несколько ситуаций, когда следует выбрать другие подходы, как это изложено в GUM. Такие ситуации включают:</w:t>
      </w:r>
    </w:p>
    <w:p w:rsidR="00000000" w:rsidRDefault="005829C2">
      <w:pPr>
        <w:pStyle w:val="FORMATTEXT"/>
        <w:ind w:firstLine="568"/>
        <w:jc w:val="both"/>
      </w:pPr>
    </w:p>
    <w:p w:rsidR="00000000" w:rsidRDefault="005829C2">
      <w:pPr>
        <w:pStyle w:val="FORMATTEXT"/>
        <w:ind w:firstLine="568"/>
        <w:jc w:val="both"/>
      </w:pPr>
      <w:r>
        <w:t>- случаи, когда не существует в явном виде математическая модель, описывающая взаимосвязь между значени</w:t>
      </w:r>
      <w:r>
        <w:t>ями параметра и входными величинами;</w:t>
      </w:r>
    </w:p>
    <w:p w:rsidR="00000000" w:rsidRDefault="005829C2">
      <w:pPr>
        <w:pStyle w:val="FORMATTEXT"/>
        <w:ind w:firstLine="568"/>
        <w:jc w:val="both"/>
      </w:pPr>
    </w:p>
    <w:p w:rsidR="00000000" w:rsidRDefault="005829C2">
      <w:pPr>
        <w:pStyle w:val="FORMATTEXT"/>
        <w:ind w:firstLine="568"/>
        <w:jc w:val="both"/>
      </w:pPr>
      <w:r>
        <w:t>- случаи, когда линейная аппроксимация, полученная по формулам суммирования и распределения неопределенностей, очевидно недействительна.</w:t>
      </w:r>
    </w:p>
    <w:p w:rsidR="00000000" w:rsidRDefault="005829C2">
      <w:pPr>
        <w:pStyle w:val="FORMATTEXT"/>
        <w:ind w:firstLine="568"/>
        <w:jc w:val="both"/>
      </w:pPr>
    </w:p>
    <w:p w:rsidR="00000000" w:rsidRDefault="005829C2">
      <w:pPr>
        <w:pStyle w:val="FORMATTEXT"/>
        <w:ind w:firstLine="568"/>
        <w:jc w:val="both"/>
      </w:pPr>
      <w:r>
        <w:t>В этих случаях для оценки неопределенности ССО (АСО) можно использовать другие с</w:t>
      </w:r>
      <w:r>
        <w:t xml:space="preserve">татистические методы, включая метод Монте Карло, или метод </w:t>
      </w:r>
      <w:proofErr w:type="spellStart"/>
      <w:r>
        <w:t>бутстрапа</w:t>
      </w:r>
      <w:proofErr w:type="spellEnd"/>
      <w:r>
        <w:t xml:space="preserve"> (</w:t>
      </w:r>
      <w:proofErr w:type="spellStart"/>
      <w:r>
        <w:t>bootstrap</w:t>
      </w:r>
      <w:proofErr w:type="spellEnd"/>
      <w:r>
        <w:t xml:space="preserve"> </w:t>
      </w:r>
      <w:proofErr w:type="spellStart"/>
      <w:r>
        <w:t>method</w:t>
      </w:r>
      <w:proofErr w:type="spellEnd"/>
      <w:r>
        <w:t>). Для целей настоящего стандарта допускается возможность следовать указанному подходу. Другие случаи следует рассматривать в соответствии с GUM.</w:t>
      </w:r>
    </w:p>
    <w:p w:rsidR="00000000" w:rsidRDefault="005829C2">
      <w:pPr>
        <w:pStyle w:val="FORMATTEXT"/>
        <w:ind w:firstLine="568"/>
        <w:jc w:val="both"/>
      </w:pPr>
    </w:p>
    <w:p w:rsidR="00000000" w:rsidRDefault="005829C2">
      <w:pPr>
        <w:pStyle w:val="FORMATTEXT"/>
        <w:ind w:firstLine="568"/>
        <w:jc w:val="both"/>
      </w:pPr>
      <w:proofErr w:type="gramStart"/>
      <w:r>
        <w:t>Подробности оценки</w:t>
      </w:r>
      <w:proofErr w:type="gramEnd"/>
      <w:r>
        <w:t xml:space="preserve"> отде</w:t>
      </w:r>
      <w:r>
        <w:t>льных составляющих неопределенности описаны в GUM. Во многих случаях можно определить составляющие суммарной неопределенности для оптимального использования имеющихся данных, например, результатов анализа достоверности результатов, как описано в главе 7 [1</w:t>
      </w:r>
      <w:r>
        <w:t>5].</w:t>
      </w:r>
    </w:p>
    <w:p w:rsidR="00000000" w:rsidRDefault="005829C2">
      <w:pPr>
        <w:pStyle w:val="FORMATTEXT"/>
        <w:ind w:firstLine="568"/>
        <w:jc w:val="both"/>
      </w:pPr>
    </w:p>
    <w:p w:rsidR="00000000" w:rsidRDefault="005829C2">
      <w:pPr>
        <w:pStyle w:val="FORMATTEXT"/>
        <w:ind w:firstLine="568"/>
        <w:jc w:val="both"/>
      </w:pPr>
      <w:r>
        <w:t>Составляющие неопределенности, для оценки которых требуется специальное руководство, включают неопределенность от неоднородности партии, а также неопределенность от долговременной и кратковременной стабильности. Оценка этих составляющих неопределеннос</w:t>
      </w:r>
      <w:r>
        <w:t>ти описана в настоящем стандарте, в разделах 7 (исследование однородности) и 8 (исследование стабильности). Некоторые дополнительные рекомендации по оценке неопределенности измерений при определении значения параметра для партии даны в разделах 9 и 10.</w:t>
      </w:r>
    </w:p>
    <w:p w:rsidR="00000000" w:rsidRDefault="005829C2">
      <w:pPr>
        <w:pStyle w:val="FORMATTEXT"/>
        <w:ind w:firstLine="568"/>
        <w:jc w:val="both"/>
      </w:pPr>
    </w:p>
    <w:p w:rsidR="00000000" w:rsidRDefault="005829C2">
      <w:pPr>
        <w:pStyle w:val="FORMATTEXT"/>
        <w:ind w:firstLine="568"/>
        <w:jc w:val="both"/>
      </w:pPr>
      <w:r>
        <w:t>Оц</w:t>
      </w:r>
      <w:r>
        <w:t>енивание неопределенности значений параметра ССО (АСО) - единичных артефактов, сертификация (аттестация) которых основана на единичной калибровке, можно проводить, используя обычные процедуры, описанные в GUM. Но следует отметить, что бюджет неопределеннос</w:t>
      </w:r>
      <w:r>
        <w:t>ти этого типа ССО (АСО) должен также включать эффекты от долговременной стабильности.</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6.2 Основная модель для </w:t>
      </w:r>
      <w:proofErr w:type="spellStart"/>
      <w:r>
        <w:rPr>
          <w:b/>
          <w:bCs/>
          <w:color w:val="000001"/>
        </w:rPr>
        <w:t>характеризации</w:t>
      </w:r>
      <w:proofErr w:type="spellEnd"/>
      <w:r>
        <w:rPr>
          <w:b/>
          <w:bCs/>
          <w:color w:val="000001"/>
        </w:rPr>
        <w:t xml:space="preserve"> партии (С)СО [(А)СО] </w:t>
      </w:r>
    </w:p>
    <w:p w:rsidR="00000000" w:rsidRDefault="005829C2">
      <w:pPr>
        <w:pStyle w:val="FORMATTEXT"/>
        <w:ind w:firstLine="568"/>
        <w:jc w:val="both"/>
      </w:pPr>
      <w:r>
        <w:t xml:space="preserve">Установление модели измерений процесса </w:t>
      </w:r>
      <w:proofErr w:type="spellStart"/>
      <w:r>
        <w:t>характеризации</w:t>
      </w:r>
      <w:proofErr w:type="spellEnd"/>
      <w:r>
        <w:t xml:space="preserve"> для оценивания неопределенности - это и не рути</w:t>
      </w:r>
      <w:r>
        <w:t>нная и не строго математическая задача. Установление подходящей модели измерений для конкретного разрабатываемого ССО (АСО) является сложной задачей, которую необходимо осуществлять с вдумчивым учетом всех деталей выполняемых процедур по производству и сер</w:t>
      </w:r>
      <w:r>
        <w:t>тификации (аттестации) этого образца. Одним из основных требований к такой модели является необходимость учета всех факторов, которые могут внести существенный вклад в неопределенность ССО (АСО). Поэтому при определении суммарной стандартной неопределеннос</w:t>
      </w:r>
      <w:r>
        <w:t xml:space="preserve">ти СО следует признавать тот факт, что помимо </w:t>
      </w:r>
      <w:proofErr w:type="spellStart"/>
      <w:r>
        <w:t>характеризации</w:t>
      </w:r>
      <w:proofErr w:type="spellEnd"/>
      <w:r>
        <w:t xml:space="preserve"> партии однородность </w:t>
      </w:r>
      <w:proofErr w:type="gramStart"/>
      <w:r>
        <w:t>и</w:t>
      </w:r>
      <w:proofErr w:type="gramEnd"/>
      <w:r>
        <w:t xml:space="preserve"> долго- и кратковременная стабильность также играют важную роль. Следовательно, неопределенность СО может быть выражена как:</w:t>
      </w:r>
    </w:p>
    <w:p w:rsidR="00000000" w:rsidRDefault="005829C2">
      <w:pPr>
        <w:pStyle w:val="FORMATTEXT"/>
        <w:ind w:firstLine="568"/>
        <w:jc w:val="both"/>
      </w:pPr>
    </w:p>
    <w:p w:rsidR="00000000" w:rsidRDefault="005829C2">
      <w:pPr>
        <w:pStyle w:val="FORMATTEXT"/>
        <w:ind w:firstLine="568"/>
        <w:jc w:val="both"/>
      </w:pPr>
      <w:r>
        <w:t>a) неопределенность сертифицируемого (аттестован</w:t>
      </w:r>
      <w:r>
        <w:t>ного) значения, полученного для партии (</w:t>
      </w:r>
      <w:proofErr w:type="spellStart"/>
      <w:r>
        <w:t>характеризация</w:t>
      </w:r>
      <w:proofErr w:type="spellEnd"/>
      <w:r>
        <w:t>);</w:t>
      </w:r>
    </w:p>
    <w:p w:rsidR="00000000" w:rsidRDefault="005829C2">
      <w:pPr>
        <w:pStyle w:val="FORMATTEXT"/>
        <w:ind w:firstLine="568"/>
        <w:jc w:val="both"/>
      </w:pPr>
    </w:p>
    <w:p w:rsidR="00000000" w:rsidRDefault="005829C2">
      <w:pPr>
        <w:pStyle w:val="FORMATTEXT"/>
        <w:ind w:firstLine="568"/>
        <w:jc w:val="both"/>
      </w:pPr>
      <w:r>
        <w:t>b) неопределенность, связанная с неоднородностью материала в отдельной упаковке (однородность);</w:t>
      </w:r>
    </w:p>
    <w:p w:rsidR="00000000" w:rsidRDefault="005829C2">
      <w:pPr>
        <w:pStyle w:val="FORMATTEXT"/>
        <w:ind w:firstLine="568"/>
        <w:jc w:val="both"/>
      </w:pPr>
    </w:p>
    <w:p w:rsidR="00000000" w:rsidRDefault="005829C2">
      <w:pPr>
        <w:pStyle w:val="FORMATTEXT"/>
        <w:ind w:firstLine="568"/>
        <w:jc w:val="both"/>
      </w:pPr>
      <w:r>
        <w:t>c) неопределенность, связанная с нестабильностью материала при отправке заказчику (кратковременная ст</w:t>
      </w:r>
      <w:r>
        <w:t>абильность);</w:t>
      </w:r>
    </w:p>
    <w:p w:rsidR="00000000" w:rsidRDefault="005829C2">
      <w:pPr>
        <w:pStyle w:val="FORMATTEXT"/>
        <w:ind w:firstLine="568"/>
        <w:jc w:val="both"/>
      </w:pPr>
    </w:p>
    <w:p w:rsidR="00000000" w:rsidRDefault="005829C2">
      <w:pPr>
        <w:pStyle w:val="FORMATTEXT"/>
        <w:ind w:firstLine="568"/>
        <w:jc w:val="both"/>
      </w:pPr>
      <w:r>
        <w:t>d) неопределенность, связанная с нестабильностью материала в течение и после продажи (долговременная стабильность).</w:t>
      </w:r>
    </w:p>
    <w:p w:rsidR="00000000" w:rsidRDefault="005829C2">
      <w:pPr>
        <w:pStyle w:val="FORMATTEXT"/>
        <w:ind w:firstLine="568"/>
        <w:jc w:val="both"/>
      </w:pPr>
    </w:p>
    <w:p w:rsidR="00000000" w:rsidRDefault="005829C2">
      <w:pPr>
        <w:pStyle w:val="FORMATTEXT"/>
        <w:ind w:firstLine="568"/>
        <w:jc w:val="both"/>
      </w:pPr>
      <w:r>
        <w:t>В определении неопределенности, связанной со значением параметра ССО (АСО), учтены следующие факторы:</w:t>
      </w:r>
    </w:p>
    <w:p w:rsidR="00000000" w:rsidRDefault="005829C2">
      <w:pPr>
        <w:pStyle w:val="FORMATTEXT"/>
        <w:ind w:firstLine="568"/>
        <w:jc w:val="both"/>
      </w:pPr>
    </w:p>
    <w:p w:rsidR="00000000" w:rsidRDefault="005829C2">
      <w:pPr>
        <w:pStyle w:val="FORMATTEXT"/>
        <w:ind w:firstLine="568"/>
        <w:jc w:val="both"/>
      </w:pPr>
      <w:r>
        <w:t xml:space="preserve">a) (законченная) </w:t>
      </w:r>
      <w:proofErr w:type="spellStart"/>
      <w:r>
        <w:t>харак</w:t>
      </w:r>
      <w:r>
        <w:t>теризация</w:t>
      </w:r>
      <w:proofErr w:type="spellEnd"/>
      <w:r>
        <w:t xml:space="preserve"> образца сопровождается неопределенностью;</w:t>
      </w:r>
    </w:p>
    <w:p w:rsidR="00000000" w:rsidRDefault="005829C2">
      <w:pPr>
        <w:pStyle w:val="FORMATTEXT"/>
        <w:ind w:firstLine="568"/>
        <w:jc w:val="both"/>
      </w:pPr>
    </w:p>
    <w:p w:rsidR="00000000" w:rsidRDefault="005829C2">
      <w:pPr>
        <w:pStyle w:val="FORMATTEXT"/>
        <w:ind w:firstLine="568"/>
        <w:jc w:val="both"/>
      </w:pPr>
      <w:r>
        <w:t>b) потребитель будет (как правило) использовать одну пробу за один раз;</w:t>
      </w:r>
    </w:p>
    <w:p w:rsidR="00000000" w:rsidRDefault="005829C2">
      <w:pPr>
        <w:pStyle w:val="FORMATTEXT"/>
        <w:ind w:firstLine="568"/>
        <w:jc w:val="both"/>
      </w:pPr>
    </w:p>
    <w:p w:rsidR="00000000" w:rsidRDefault="005829C2">
      <w:pPr>
        <w:pStyle w:val="FORMATTEXT"/>
        <w:ind w:firstLine="568"/>
        <w:jc w:val="both"/>
      </w:pPr>
      <w:r>
        <w:t>c) образец будет храниться длительный период времени изготовителем/продавцом;</w:t>
      </w:r>
    </w:p>
    <w:p w:rsidR="00000000" w:rsidRDefault="005829C2">
      <w:pPr>
        <w:pStyle w:val="FORMATTEXT"/>
        <w:ind w:firstLine="568"/>
        <w:jc w:val="both"/>
      </w:pPr>
    </w:p>
    <w:p w:rsidR="00000000" w:rsidRDefault="005829C2">
      <w:pPr>
        <w:pStyle w:val="FORMATTEXT"/>
        <w:ind w:firstLine="568"/>
        <w:jc w:val="both"/>
      </w:pPr>
      <w:r>
        <w:t>d) образец должен транспортироваться до потребителя</w:t>
      </w:r>
      <w:r>
        <w:t>.</w:t>
      </w:r>
    </w:p>
    <w:p w:rsidR="00000000" w:rsidRDefault="005829C2">
      <w:pPr>
        <w:pStyle w:val="FORMATTEXT"/>
        <w:ind w:firstLine="568"/>
        <w:jc w:val="both"/>
      </w:pPr>
    </w:p>
    <w:p w:rsidR="00000000" w:rsidRDefault="005829C2">
      <w:pPr>
        <w:pStyle w:val="FORMATTEXT"/>
        <w:ind w:firstLine="568"/>
        <w:jc w:val="both"/>
      </w:pPr>
      <w:r>
        <w:t>Все эти факторы могут внести существенный вклад в неопределенность измеряемой величины [сертифицируемого (аттестуемого) значения] для ССО (АСО). Признание этих влияющих факторов не идет дальше обычных операций. Оценка неопределенности не предназначена и</w:t>
      </w:r>
      <w:r>
        <w:t xml:space="preserve"> не должна использоваться для объяснения несчастных случаев, ошибок, неправильного использования, неправильного транспортирования ССО (АСО) и т.п. Это согласуется с 3.4.8 GUM.</w:t>
      </w:r>
    </w:p>
    <w:p w:rsidR="00000000" w:rsidRDefault="005829C2">
      <w:pPr>
        <w:pStyle w:val="FORMATTEXT"/>
        <w:ind w:firstLine="568"/>
        <w:jc w:val="both"/>
      </w:pPr>
    </w:p>
    <w:p w:rsidR="00000000" w:rsidRDefault="005829C2">
      <w:pPr>
        <w:pStyle w:val="FORMATTEXT"/>
        <w:ind w:firstLine="568"/>
        <w:jc w:val="both"/>
      </w:pPr>
      <w:r>
        <w:t>Модель измерений в этом случае может быть выражена следующим образом:</w:t>
      </w:r>
    </w:p>
    <w:p w:rsidR="00000000" w:rsidRDefault="005829C2">
      <w:pPr>
        <w:pStyle w:val="FORMATTEXT"/>
        <w:ind w:firstLine="568"/>
        <w:jc w:val="both"/>
      </w:pPr>
    </w:p>
    <w:p w:rsidR="00000000" w:rsidRDefault="00862BD0">
      <w:pPr>
        <w:pStyle w:val="FORMATTEXT"/>
        <w:jc w:val="right"/>
      </w:pPr>
      <w:r>
        <w:rPr>
          <w:noProof/>
          <w:position w:val="-10"/>
        </w:rPr>
        <w:drawing>
          <wp:inline distT="0" distB="0" distL="0" distR="0">
            <wp:extent cx="2057400" cy="22860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57400" cy="228600"/>
                    </a:xfrm>
                    <a:prstGeom prst="rect">
                      <a:avLst/>
                    </a:prstGeom>
                    <a:noFill/>
                    <a:ln>
                      <a:noFill/>
                    </a:ln>
                  </pic:spPr>
                </pic:pic>
              </a:graphicData>
            </a:graphic>
          </wp:inline>
        </w:drawing>
      </w:r>
      <w:r w:rsidR="005829C2">
        <w:t>,                                                   (1)</w:t>
      </w:r>
    </w:p>
    <w:p w:rsidR="00000000" w:rsidRDefault="005829C2">
      <w:pPr>
        <w:pStyle w:val="FORMATTEXT"/>
        <w:jc w:val="both"/>
      </w:pPr>
      <w:r>
        <w:t xml:space="preserve">где </w:t>
      </w:r>
      <w:r>
        <w:rPr>
          <w:i/>
          <w:iCs/>
        </w:rPr>
        <w:t>x</w:t>
      </w:r>
      <w:r w:rsidR="00862BD0">
        <w:rPr>
          <w:noProof/>
          <w:position w:val="-10"/>
        </w:rPr>
        <w:drawing>
          <wp:inline distT="0" distB="0" distL="0" distR="0">
            <wp:extent cx="304800" cy="22860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228600"/>
                    </a:xfrm>
                    <a:prstGeom prst="rect">
                      <a:avLst/>
                    </a:prstGeom>
                    <a:noFill/>
                    <a:ln>
                      <a:noFill/>
                    </a:ln>
                  </pic:spPr>
                </pic:pic>
              </a:graphicData>
            </a:graphic>
          </wp:inline>
        </w:drawing>
      </w:r>
      <w:r>
        <w:t xml:space="preserve"> - значение параметра </w:t>
      </w:r>
      <w:r>
        <w:rPr>
          <w:i/>
          <w:iCs/>
        </w:rPr>
        <w:t>ССО (АСО);</w:t>
      </w:r>
      <w:r>
        <w:t xml:space="preserve"> </w:t>
      </w:r>
    </w:p>
    <w:p w:rsidR="00000000" w:rsidRDefault="005829C2">
      <w:pPr>
        <w:pStyle w:val="FORMATTEXT"/>
        <w:ind w:firstLine="568"/>
        <w:jc w:val="both"/>
      </w:pPr>
      <w:r>
        <w:rPr>
          <w:i/>
          <w:iCs/>
        </w:rPr>
        <w:t>x</w:t>
      </w:r>
      <w:r w:rsidR="00862BD0">
        <w:rPr>
          <w:noProof/>
          <w:position w:val="-10"/>
        </w:rPr>
        <w:drawing>
          <wp:inline distT="0" distB="0" distL="0" distR="0">
            <wp:extent cx="257175" cy="228600"/>
            <wp:effectExtent l="0" t="0" r="9525"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t xml:space="preserve"> - значение параметра, полученное по результатам </w:t>
      </w:r>
      <w:proofErr w:type="spellStart"/>
      <w:r>
        <w:t>характ</w:t>
      </w:r>
      <w:r>
        <w:t>еризации</w:t>
      </w:r>
      <w:proofErr w:type="spellEnd"/>
      <w:r>
        <w:t xml:space="preserve"> партии, или в случае сертификации (аттестации) одиночного артефакта значение параметра, полученное для этого артефакта;</w:t>
      </w:r>
    </w:p>
    <w:p w:rsidR="00000000" w:rsidRDefault="005829C2">
      <w:pPr>
        <w:pStyle w:val="FORMATTEXT"/>
        <w:ind w:firstLine="568"/>
        <w:jc w:val="both"/>
      </w:pPr>
    </w:p>
    <w:p w:rsidR="00000000" w:rsidRDefault="00862BD0">
      <w:pPr>
        <w:pStyle w:val="FORMATTEXT"/>
        <w:ind w:firstLine="568"/>
        <w:jc w:val="both"/>
      </w:pPr>
      <w:r>
        <w:rPr>
          <w:noProof/>
          <w:position w:val="-10"/>
        </w:rPr>
        <w:drawing>
          <wp:inline distT="0" distB="0" distL="0" distR="0">
            <wp:extent cx="304800" cy="22860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4800" cy="228600"/>
                    </a:xfrm>
                    <a:prstGeom prst="rect">
                      <a:avLst/>
                    </a:prstGeom>
                    <a:noFill/>
                    <a:ln>
                      <a:noFill/>
                    </a:ln>
                  </pic:spPr>
                </pic:pic>
              </a:graphicData>
            </a:graphic>
          </wp:inline>
        </w:drawing>
      </w:r>
      <w:r w:rsidR="005829C2">
        <w:t>- предел отклонения, обусловленный изменением значения параметра между экземплярами;</w:t>
      </w:r>
    </w:p>
    <w:p w:rsidR="00000000" w:rsidRDefault="005829C2">
      <w:pPr>
        <w:pStyle w:val="FORMATTEXT"/>
        <w:ind w:firstLine="568"/>
        <w:jc w:val="both"/>
      </w:pPr>
    </w:p>
    <w:p w:rsidR="00000000" w:rsidRDefault="00862BD0">
      <w:pPr>
        <w:pStyle w:val="FORMATTEXT"/>
        <w:ind w:firstLine="568"/>
        <w:jc w:val="both"/>
      </w:pPr>
      <w:r>
        <w:rPr>
          <w:noProof/>
          <w:position w:val="-10"/>
        </w:rPr>
        <w:drawing>
          <wp:inline distT="0" distB="0" distL="0" distR="0">
            <wp:extent cx="295275" cy="228600"/>
            <wp:effectExtent l="0" t="0" r="952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5275" cy="228600"/>
                    </a:xfrm>
                    <a:prstGeom prst="rect">
                      <a:avLst/>
                    </a:prstGeom>
                    <a:noFill/>
                    <a:ln>
                      <a:noFill/>
                    </a:ln>
                  </pic:spPr>
                </pic:pic>
              </a:graphicData>
            </a:graphic>
          </wp:inline>
        </w:drawing>
      </w:r>
      <w:proofErr w:type="gramStart"/>
      <w:r w:rsidR="005829C2">
        <w:t>и </w:t>
      </w:r>
      <w:r>
        <w:rPr>
          <w:noProof/>
          <w:position w:val="-10"/>
        </w:rPr>
        <w:drawing>
          <wp:inline distT="0" distB="0" distL="0" distR="0">
            <wp:extent cx="304800" cy="22860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4800" cy="228600"/>
                    </a:xfrm>
                    <a:prstGeom prst="rect">
                      <a:avLst/>
                    </a:prstGeom>
                    <a:noFill/>
                    <a:ln>
                      <a:noFill/>
                    </a:ln>
                  </pic:spPr>
                </pic:pic>
              </a:graphicData>
            </a:graphic>
          </wp:inline>
        </w:drawing>
      </w:r>
      <w:r w:rsidR="005829C2">
        <w:t xml:space="preserve"> -</w:t>
      </w:r>
      <w:proofErr w:type="gramEnd"/>
      <w:r w:rsidR="005829C2">
        <w:t xml:space="preserve"> являются пределами отклонений, обусловленных долгосрочной и краткосрочной нестабильностями.</w:t>
      </w:r>
    </w:p>
    <w:p w:rsidR="00000000" w:rsidRDefault="005829C2">
      <w:pPr>
        <w:pStyle w:val="FORMATTEXT"/>
        <w:ind w:firstLine="568"/>
        <w:jc w:val="both"/>
      </w:pPr>
    </w:p>
    <w:p w:rsidR="00000000" w:rsidRDefault="005829C2">
      <w:pPr>
        <w:pStyle w:val="FORMATTEXT"/>
        <w:ind w:firstLine="568"/>
        <w:jc w:val="both"/>
      </w:pPr>
      <w:r>
        <w:t>Обычно исследования однородности и стабильности планируют таким образом, чтобы значения</w:t>
      </w:r>
      <w:r>
        <w:t xml:space="preserve"> этих остаточных членов были равны нулю, но их неопределенности при этом не равны нулю.</w:t>
      </w:r>
    </w:p>
    <w:p w:rsidR="00000000" w:rsidRDefault="005829C2">
      <w:pPr>
        <w:pStyle w:val="FORMATTEXT"/>
        <w:ind w:firstLine="568"/>
        <w:jc w:val="both"/>
      </w:pPr>
    </w:p>
    <w:p w:rsidR="00000000" w:rsidRDefault="005829C2">
      <w:pPr>
        <w:pStyle w:val="FORMATTEXT"/>
        <w:ind w:firstLine="568"/>
        <w:jc w:val="both"/>
      </w:pPr>
      <w:r>
        <w:t>Допуская независимость переменных величин, неопределенность ССО (АСО) может быть выражена в виде:</w:t>
      </w:r>
    </w:p>
    <w:p w:rsidR="00000000" w:rsidRDefault="005829C2">
      <w:pPr>
        <w:pStyle w:val="FORMATTEXT"/>
        <w:ind w:firstLine="568"/>
        <w:jc w:val="both"/>
      </w:pPr>
    </w:p>
    <w:p w:rsidR="00000000" w:rsidRDefault="00862BD0">
      <w:pPr>
        <w:pStyle w:val="FORMATTEXT"/>
        <w:jc w:val="right"/>
      </w:pPr>
      <w:r>
        <w:rPr>
          <w:noProof/>
          <w:position w:val="-13"/>
        </w:rPr>
        <w:drawing>
          <wp:inline distT="0" distB="0" distL="0" distR="0">
            <wp:extent cx="2028825" cy="304800"/>
            <wp:effectExtent l="0" t="0" r="9525"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28825" cy="304800"/>
                    </a:xfrm>
                    <a:prstGeom prst="rect">
                      <a:avLst/>
                    </a:prstGeom>
                    <a:noFill/>
                    <a:ln>
                      <a:noFill/>
                    </a:ln>
                  </pic:spPr>
                </pic:pic>
              </a:graphicData>
            </a:graphic>
          </wp:inline>
        </w:drawing>
      </w:r>
      <w:r w:rsidR="005829C2">
        <w:t>,                                </w:t>
      </w:r>
      <w:r w:rsidR="005829C2">
        <w:t xml:space="preserve">              (2) </w:t>
      </w:r>
    </w:p>
    <w:p w:rsidR="00000000" w:rsidRDefault="005829C2">
      <w:pPr>
        <w:pStyle w:val="FORMATTEXT"/>
        <w:jc w:val="both"/>
      </w:pPr>
    </w:p>
    <w:p w:rsidR="00000000" w:rsidRDefault="005829C2">
      <w:pPr>
        <w:pStyle w:val="FORMATTEXT"/>
        <w:jc w:val="both"/>
      </w:pPr>
    </w:p>
    <w:p w:rsidR="00000000" w:rsidRDefault="005829C2">
      <w:pPr>
        <w:pStyle w:val="FORMATTEXT"/>
        <w:jc w:val="both"/>
      </w:pPr>
      <w:r>
        <w:t xml:space="preserve">согласно формуле из GUM (Е.8), составляющие неопределенности </w:t>
      </w:r>
      <w:r>
        <w:rPr>
          <w:i/>
          <w:iCs/>
        </w:rPr>
        <w:t>u</w:t>
      </w:r>
      <w:r w:rsidR="00862BD0">
        <w:rPr>
          <w:noProof/>
          <w:position w:val="-10"/>
        </w:rPr>
        <w:drawing>
          <wp:inline distT="0" distB="0" distL="0" distR="0">
            <wp:extent cx="161925" cy="228600"/>
            <wp:effectExtent l="0" t="0" r="9525"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(стандартная неопределенность между экземплярами), </w:t>
      </w:r>
      <w:r>
        <w:rPr>
          <w:i/>
          <w:iCs/>
        </w:rPr>
        <w:t>u</w:t>
      </w:r>
      <w:r w:rsidR="00862BD0">
        <w:rPr>
          <w:noProof/>
          <w:position w:val="-10"/>
        </w:rPr>
        <w:drawing>
          <wp:inline distT="0" distB="0" distL="0" distR="0">
            <wp:extent cx="152400" cy="22860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t xml:space="preserve"> (стандартная неопределенность от долговременной </w:t>
      </w:r>
      <w:r>
        <w:t xml:space="preserve">стабильности) и </w:t>
      </w:r>
      <w:r>
        <w:rPr>
          <w:i/>
          <w:iCs/>
        </w:rPr>
        <w:t>u</w:t>
      </w:r>
      <w:r w:rsidR="00862BD0">
        <w:rPr>
          <w:noProof/>
          <w:position w:val="-10"/>
        </w:rPr>
        <w:drawing>
          <wp:inline distT="0" distB="0" distL="0" distR="0">
            <wp:extent cx="161925" cy="228600"/>
            <wp:effectExtent l="0" t="0" r="9525"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(стандартная неопределенность от кратковременной стабильности) соответствуют пределам отклонений модели. Суммарная стандартная неопределенность, связанная со значением параметра ССО (АСО), может быть св</w:t>
      </w:r>
      <w:r>
        <w:t xml:space="preserve">язана со сроком годности образца (см. раздел 8). </w:t>
      </w:r>
    </w:p>
    <w:p w:rsidR="00000000" w:rsidRDefault="005829C2">
      <w:pPr>
        <w:pStyle w:val="FORMATTEXT"/>
        <w:ind w:firstLine="568"/>
        <w:jc w:val="both"/>
      </w:pPr>
      <w:r>
        <w:t>Примечания</w:t>
      </w:r>
    </w:p>
    <w:p w:rsidR="00000000" w:rsidRDefault="005829C2">
      <w:pPr>
        <w:pStyle w:val="FORMATTEXT"/>
        <w:ind w:firstLine="568"/>
        <w:jc w:val="both"/>
      </w:pPr>
    </w:p>
    <w:p w:rsidR="00000000" w:rsidRDefault="005829C2">
      <w:pPr>
        <w:pStyle w:val="FORMATTEXT"/>
        <w:ind w:firstLine="568"/>
        <w:jc w:val="both"/>
      </w:pPr>
      <w:r>
        <w:t>1 Иногда член долговременной стабильности является функцией времени, как, например, для СО, сертифицированных (аттестованных) по содержанию радиоактивных изотопов. В модели, используемой для оце</w:t>
      </w:r>
      <w:r>
        <w:t>нки неопределенности, связанной со значением параметра ССО (АСО) этого типа, следует учитывать зависимость сертифицированного (аттестованного) значения от времени.</w:t>
      </w:r>
    </w:p>
    <w:p w:rsidR="00000000" w:rsidRDefault="005829C2">
      <w:pPr>
        <w:pStyle w:val="FORMATTEXT"/>
        <w:ind w:firstLine="568"/>
        <w:jc w:val="both"/>
      </w:pPr>
    </w:p>
    <w:p w:rsidR="00000000" w:rsidRDefault="005829C2">
      <w:pPr>
        <w:pStyle w:val="FORMATTEXT"/>
        <w:ind w:firstLine="568"/>
        <w:jc w:val="both"/>
      </w:pPr>
      <w:r>
        <w:t>2 Общие рекомендации по моделированию измерений можно найти в GUM и в ряде дополнительных д</w:t>
      </w:r>
      <w:r>
        <w:t xml:space="preserve">окументов, например, в [15]. Некоторые конкретные рекомендации по </w:t>
      </w:r>
      <w:r>
        <w:lastRenderedPageBreak/>
        <w:t>моделированию и оценке данных в отношении моделирования ключевых этапов в сертификации (аттестации) СО даны в разделах 7-10.</w:t>
      </w:r>
    </w:p>
    <w:p w:rsidR="00000000" w:rsidRDefault="005829C2">
      <w:pPr>
        <w:pStyle w:val="FORMATTEXT"/>
        <w:ind w:firstLine="568"/>
        <w:jc w:val="both"/>
      </w:pPr>
    </w:p>
    <w:p w:rsidR="00000000" w:rsidRDefault="005829C2">
      <w:pPr>
        <w:pStyle w:val="FORMATTEXT"/>
        <w:ind w:firstLine="568"/>
        <w:jc w:val="both"/>
      </w:pPr>
      <w:r>
        <w:t>3 При некоторых обстоятельствах можно отклониться от основной мо</w:t>
      </w:r>
      <w:r>
        <w:t>дели. Такие обстоятельства включают ситуации, когда отсутствует транспортирование образцов или где четко указано, что неопределенность, приведенная в сертификате (паспорте), не учитывает транспортирование образцов. Конкретные рекомендации по оценке составл</w:t>
      </w:r>
      <w:r>
        <w:t>яющих такой неопределенности даны в разделах 7 (исследование однородности) и 8 (исследование стабильности), 9 и 10 (определение значения параметра). Если, например, образец, чувствительный к повышенным температурам, транспортируется шесть недель от изготов</w:t>
      </w:r>
      <w:r>
        <w:t>ителя к заказчику, а изготовителем предусмотрена только одна неделя, то параметры этого ССО (АСО) могут претерпеть значительные изменения. Изготовитель, указывая эту информацию в своем сертификате (паспорте) или, если сочтет более целесообразным, в дополни</w:t>
      </w:r>
      <w:r>
        <w:t>тельной документации, соответственно имеет право ограничить исследование кратковременной стабильности.</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6.3 Источники неопределенности </w:t>
      </w:r>
    </w:p>
    <w:p w:rsidR="00000000" w:rsidRDefault="005829C2">
      <w:pPr>
        <w:pStyle w:val="FORMATTEXT"/>
        <w:ind w:firstLine="568"/>
        <w:jc w:val="both"/>
      </w:pPr>
      <w:r>
        <w:t xml:space="preserve">Кроме упомянутых источников неопределенности в модель следует включить источники, с которыми обычно сталкиваются </w:t>
      </w:r>
      <w:r>
        <w:t>в измерительных процедурах. Эти источники неопределенности перечислены в GUM и в ссылке [15]. При построении модели рекомендуется следовать такому общему перечню для упрощения получения всех необходимых составляющих неопределенности. Часто методы измерений</w:t>
      </w:r>
      <w:r>
        <w:t xml:space="preserve"> уже оценены с неопределенностями измерений, и модели, имеющиеся для этих методов, могут применяться также и для оценивания неопределенности значения параметра ССО (АСО). Следует отметить, что любое изменение в конкретном методе должно сопровождаться перес</w:t>
      </w:r>
      <w:r>
        <w:t>мотром модели неопределенности.</w:t>
      </w:r>
    </w:p>
    <w:p w:rsidR="00000000" w:rsidRDefault="005829C2">
      <w:pPr>
        <w:pStyle w:val="FORMATTEXT"/>
        <w:ind w:firstLine="568"/>
        <w:jc w:val="both"/>
      </w:pPr>
    </w:p>
    <w:p w:rsidR="00000000" w:rsidRDefault="005829C2">
      <w:pPr>
        <w:pStyle w:val="FORMATTEXT"/>
        <w:ind w:firstLine="568"/>
        <w:jc w:val="both"/>
      </w:pPr>
      <w:r>
        <w:t xml:space="preserve">Часто модели неопределенности методов измерений содержат объединенные компоненты, т.е. компоненты неопределенности, которые зависят от нескольких других компонентов. Эти объединенные компоненты могут привести к ковариациям </w:t>
      </w:r>
      <w:r>
        <w:t>(см. 6.1), даже если они не проявляются, когда методика измерений используется для рутинных измерений. Оценка ковариаций и корреляций имеет решающее значение для получения правильной оценки суммарной стандартной неопределенности значения параметра ССО (АСО</w:t>
      </w:r>
      <w:r>
        <w:t>). Для упрощения процесса обнаружения ковариаций рекомендуется документировать, какие составляющие неопределенности содержатся в составляющих суммарной неопределенности. Эта документация позволяет относительно быстро провести идентификацию возможных источн</w:t>
      </w:r>
      <w:r>
        <w:t>иков ковариаций и корреляций. В приложении F GUM даны некоторые дополнительные рекомендации в отношении того, как оценивать полученные ковариации.</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6.4 Вопросы, связанные с функциями распределения </w:t>
      </w:r>
    </w:p>
    <w:p w:rsidR="00000000" w:rsidRDefault="005829C2">
      <w:pPr>
        <w:pStyle w:val="FORMATTEXT"/>
        <w:ind w:firstLine="568"/>
        <w:jc w:val="both"/>
      </w:pPr>
      <w:r>
        <w:t>Большинство статистических методов косвенно или пря</w:t>
      </w:r>
      <w:r>
        <w:t>мо требуют принятия допущений, касающихся функции плотности распределения вероятностей исследуемой измеряемой величины. Подход GUM не является исключением, так как кое-где в процессе оценки будет необходимо определить или предположить плотность распределен</w:t>
      </w:r>
      <w:r>
        <w:t>ия вероятностей. Модели, используемые для сертификации (аттестации) СО, также не являются исключением из этого правила, так как они построены на основной статистической теории. Часто эти предположения делаются скорее косвенно, чем прямо (например, использу</w:t>
      </w:r>
      <w:r>
        <w:t xml:space="preserve">я определенный статистический метод или оценку по типу В). Для многих статистических методов предполагается, например, что данные распределены нормально. Это предположение также лежит в основе значительной части статистики, представленной в этом </w:t>
      </w:r>
      <w:r>
        <w:rPr>
          <w:i/>
          <w:iCs/>
        </w:rPr>
        <w:t>стандарте.</w:t>
      </w:r>
      <w:r>
        <w:t xml:space="preserve"> Для большинства результатов измерений состава эта аппроксимация справедлива, хотя для других измерений, таких как, например, подсчет малого числа данных, это предположение может быть недействительно.</w:t>
      </w:r>
    </w:p>
    <w:p w:rsidR="00000000" w:rsidRDefault="005829C2">
      <w:pPr>
        <w:pStyle w:val="FORMATTEXT"/>
        <w:ind w:firstLine="568"/>
        <w:jc w:val="both"/>
      </w:pPr>
    </w:p>
    <w:p w:rsidR="00000000" w:rsidRDefault="005829C2">
      <w:pPr>
        <w:pStyle w:val="FORMATTEXT"/>
        <w:ind w:firstLine="568"/>
        <w:jc w:val="both"/>
      </w:pPr>
      <w:r>
        <w:t>Анализ регрессии и анализ дисперсии основаны на допуще</w:t>
      </w:r>
      <w:r>
        <w:t>нии о нормально распределенных данных. Тем не менее эти статистические инструменты хорошо подходят для данных, имеющих унимодальную функцию распределения, если они используются для оценки дисперсий (см., например, разделы 7 и 8 и [21]).</w:t>
      </w:r>
    </w:p>
    <w:p w:rsidR="00000000" w:rsidRDefault="005829C2">
      <w:pPr>
        <w:pStyle w:val="FORMATTEXT"/>
        <w:ind w:firstLine="568"/>
        <w:jc w:val="both"/>
      </w:pPr>
    </w:p>
    <w:p w:rsidR="00000000" w:rsidRDefault="005829C2">
      <w:pPr>
        <w:pStyle w:val="FORMATTEXT"/>
        <w:ind w:firstLine="568"/>
        <w:jc w:val="both"/>
      </w:pPr>
      <w:r>
        <w:t>Общеизвестная проб</w:t>
      </w:r>
      <w:r>
        <w:t xml:space="preserve">лема возникает в тех случаях, когда экспериментальное распределение данных </w:t>
      </w:r>
      <w:proofErr w:type="spellStart"/>
      <w:r>
        <w:t>характеризации</w:t>
      </w:r>
      <w:proofErr w:type="spellEnd"/>
      <w:r>
        <w:t xml:space="preserve"> показывает многочисленные максимумы. В худшем случае это означает, что образец не может быть сертифицирован (аттестован) из-за отсутствия согласованности результатов,</w:t>
      </w:r>
      <w:r>
        <w:t xml:space="preserve"> полученных различными лабораториями и/или методами измерений. Приписывание отдельного значения параметра целесообразно лишь при согласованности методов и/или лабораторий. Незначительные расхождения могут быть устранены путем введения дополнительной состав</w:t>
      </w:r>
      <w:r>
        <w:t xml:space="preserve">ляющей неопределенности, учитывающей этот эффект. При наличии согласованности между результатами, </w:t>
      </w:r>
      <w:r>
        <w:lastRenderedPageBreak/>
        <w:t>полученными лабораториями, использующими определенный метод измерений, можно рассмотреть проведение сертификации (аттестации), зависящей от метода, в результа</w:t>
      </w:r>
      <w:r>
        <w:t xml:space="preserve">те которой будут получены зависящие от метода значения параметров. При отсутствии согласованности между лабораториями и невозможности решить проблему путем группирования по методам результаты </w:t>
      </w:r>
      <w:proofErr w:type="spellStart"/>
      <w:r>
        <w:t>характеризации</w:t>
      </w:r>
      <w:proofErr w:type="spellEnd"/>
      <w:r>
        <w:t xml:space="preserve"> не подходят для установления значений параметров.</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6.5 Использование отношений </w:t>
      </w:r>
    </w:p>
    <w:p w:rsidR="00000000" w:rsidRDefault="005829C2">
      <w:pPr>
        <w:pStyle w:val="FORMATTEXT"/>
        <w:ind w:firstLine="568"/>
        <w:jc w:val="both"/>
      </w:pPr>
      <w:r>
        <w:t>Потенциальная проблема существует при использовании отношений, например, при исследованиях стабильности [16]. Следует отметить, что отношение двух нормально распределенных величин не обязательно является также нормальн</w:t>
      </w:r>
      <w:r>
        <w:t>о распределенным [17]. Действительное распределение отношения двух переменных зависит как от распределений двух переменных, так и от действительных значений параметров функций этих распределений. В частности, в тех случаях, когда значение параметра может б</w:t>
      </w:r>
      <w:r>
        <w:t>ыть равно нулю, как, например, при некоторых измерениях цвета, использование отношений может привести к проблемам, так как при этом отношения будут следовать распределению Коши [17]. Это распределение не имеет моментов, что означает, что дисперсию невозмож</w:t>
      </w:r>
      <w:r>
        <w:t>но оценить. Как следствие, на основе приписанного распределения вероятности невозможно оценить неопределенность измерений.</w:t>
      </w:r>
    </w:p>
    <w:p w:rsidR="00000000" w:rsidRDefault="005829C2">
      <w:pPr>
        <w:pStyle w:val="FORMATTEXT"/>
        <w:ind w:firstLine="568"/>
        <w:jc w:val="both"/>
      </w:pPr>
    </w:p>
    <w:p w:rsidR="00000000" w:rsidRDefault="005829C2">
      <w:pPr>
        <w:pStyle w:val="FORMATTEXT"/>
        <w:ind w:firstLine="568"/>
        <w:jc w:val="both"/>
      </w:pPr>
      <w:r>
        <w:t>Составляющие случайной погрешности измерений можно также уменьшить до минимума, правильно применяя закон распределения неопределенно</w:t>
      </w:r>
      <w:r>
        <w:t>сти, включая необходимые члены ковариации между двумя переменными, образующими отношение. Такое "уменьшение неопределенности" является желательным эффектом, который достигается при использовании отношений [16]; использование закона распределения неопределе</w:t>
      </w:r>
      <w:r>
        <w:t>нности по полученным данным имеет преимущество для артефактов в отношении функции распределения отношений, и одновременно это ведет к желаемому эффекту "подавления составляющих случайной погрешности" [18].</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6.6 Выбор коэффициента охвата </w:t>
      </w:r>
    </w:p>
    <w:p w:rsidR="00000000" w:rsidRDefault="005829C2">
      <w:pPr>
        <w:pStyle w:val="FORMATTEXT"/>
        <w:ind w:firstLine="568"/>
        <w:jc w:val="both"/>
      </w:pPr>
      <w:r>
        <w:t>Коэффициент</w:t>
      </w:r>
      <w:r>
        <w:t> охвата, используемый в этапе g) подхода, описанного в 6.1, определяется на основе функции распределения, принятого для значения параметра (чаще всего нормального распределения) и уровня доверия (чаще всего 95%). Как следствие, на этой основе часто приписы</w:t>
      </w:r>
      <w:r>
        <w:t xml:space="preserve">вается коэффициент охвата k=2 (нормальное распределение, 95% уровень доверия). Когда (эффективное) число степеней свободы считается низким, для приписывания коэффициента охвата можно взамен использовать </w:t>
      </w:r>
      <w:r>
        <w:rPr>
          <w:i/>
          <w:iCs/>
        </w:rPr>
        <w:t>t</w:t>
      </w:r>
      <w:r>
        <w:t>-распределение Стьюдента.</w:t>
      </w:r>
    </w:p>
    <w:p w:rsidR="00000000" w:rsidRDefault="005829C2">
      <w:pPr>
        <w:pStyle w:val="FORMATTEXT"/>
        <w:ind w:firstLine="568"/>
        <w:jc w:val="both"/>
      </w:pPr>
    </w:p>
    <w:p w:rsidR="00000000" w:rsidRDefault="005829C2">
      <w:pPr>
        <w:pStyle w:val="FORMATTEXT"/>
        <w:ind w:firstLine="568"/>
        <w:jc w:val="both"/>
      </w:pPr>
      <w:r>
        <w:t xml:space="preserve">Примечание - </w:t>
      </w:r>
      <w:proofErr w:type="gramStart"/>
      <w:r>
        <w:t>В</w:t>
      </w:r>
      <w:proofErr w:type="gramEnd"/>
      <w:r>
        <w:t xml:space="preserve"> тех случая</w:t>
      </w:r>
      <w:r>
        <w:t>х, когда приписанное распределение значения параметра считается ассиметричным, как, например, результат расчета, следующий распределению Пуассона, необходимо указывать доверительный интервал, а не расширенную неопределенность с коэффициентом охвата.</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w:t>
      </w:r>
      <w:r>
        <w:rPr>
          <w:b/>
          <w:bCs/>
          <w:color w:val="000001"/>
        </w:rPr>
        <w:t xml:space="preserve">  6.7 Повторная сертификация (аттестация) </w:t>
      </w:r>
    </w:p>
    <w:p w:rsidR="00000000" w:rsidRDefault="005829C2">
      <w:pPr>
        <w:pStyle w:val="FORMATTEXT"/>
        <w:ind w:firstLine="568"/>
        <w:jc w:val="both"/>
      </w:pPr>
      <w:r>
        <w:t>С течением времени реальное значение параметра ССО (АСО) может отклониться от сертифицированного (аттестованного) значения. Если значение параметра ССО (АСО) выходит за рамки диапазона, указанного в сертификате (п</w:t>
      </w:r>
      <w:r>
        <w:t>аспорте), возможны два основных варианта решения этой проблемы:</w:t>
      </w:r>
    </w:p>
    <w:p w:rsidR="00000000" w:rsidRDefault="005829C2">
      <w:pPr>
        <w:pStyle w:val="FORMATTEXT"/>
        <w:ind w:firstLine="568"/>
        <w:jc w:val="both"/>
      </w:pPr>
    </w:p>
    <w:p w:rsidR="00000000" w:rsidRDefault="005829C2">
      <w:pPr>
        <w:pStyle w:val="FORMATTEXT"/>
        <w:ind w:firstLine="568"/>
        <w:jc w:val="both"/>
      </w:pPr>
      <w:r>
        <w:t>- изъять этот (С)СО [(А)СО] или</w:t>
      </w:r>
    </w:p>
    <w:p w:rsidR="00000000" w:rsidRDefault="005829C2">
      <w:pPr>
        <w:pStyle w:val="FORMATTEXT"/>
        <w:ind w:firstLine="568"/>
        <w:jc w:val="both"/>
      </w:pPr>
    </w:p>
    <w:p w:rsidR="00000000" w:rsidRDefault="005829C2">
      <w:pPr>
        <w:pStyle w:val="FORMATTEXT"/>
        <w:ind w:firstLine="568"/>
        <w:jc w:val="both"/>
      </w:pPr>
      <w:r>
        <w:t>- провести повторную сертификацию (аттестацию) материала.</w:t>
      </w:r>
    </w:p>
    <w:p w:rsidR="00000000" w:rsidRDefault="005829C2">
      <w:pPr>
        <w:pStyle w:val="FORMATTEXT"/>
        <w:ind w:firstLine="568"/>
        <w:jc w:val="both"/>
      </w:pPr>
    </w:p>
    <w:p w:rsidR="00000000" w:rsidRDefault="005829C2">
      <w:pPr>
        <w:pStyle w:val="FORMATTEXT"/>
        <w:ind w:firstLine="568"/>
        <w:jc w:val="both"/>
      </w:pPr>
      <w:r>
        <w:t>Примечания</w:t>
      </w:r>
    </w:p>
    <w:p w:rsidR="00000000" w:rsidRDefault="005829C2">
      <w:pPr>
        <w:pStyle w:val="FORMATTEXT"/>
        <w:ind w:firstLine="568"/>
        <w:jc w:val="both"/>
      </w:pPr>
    </w:p>
    <w:p w:rsidR="00000000" w:rsidRDefault="005829C2">
      <w:pPr>
        <w:pStyle w:val="FORMATTEXT"/>
        <w:ind w:firstLine="568"/>
        <w:jc w:val="both"/>
      </w:pPr>
      <w:r>
        <w:t>1 Выбор варианта зависит как от технических, так и от экономических факторов. Техническ</w:t>
      </w:r>
      <w:r>
        <w:t xml:space="preserve">ие факторы изъятия (С)СО [(А)СО] могут включать, например, ухудшение свойств матрицы или </w:t>
      </w:r>
      <w:proofErr w:type="gramStart"/>
      <w:r>
        <w:t>одного</w:t>
      </w:r>
      <w:proofErr w:type="gramEnd"/>
      <w:r>
        <w:t xml:space="preserve"> или нескольких ее компонентов, что может быть обнаружено в результате исследования стабильности или мониторинга стабильности (см. 8.4). Изъятие ССО (АСО) из обр</w:t>
      </w:r>
      <w:r>
        <w:t>ащения на рынке может быть предпочтительным вариантом, если оставшаяся партия образца стала слишком малочисленной для проведения повторной сертификации (аттестации).</w:t>
      </w:r>
    </w:p>
    <w:p w:rsidR="00000000" w:rsidRDefault="005829C2">
      <w:pPr>
        <w:pStyle w:val="FORMATTEXT"/>
        <w:ind w:firstLine="568"/>
        <w:jc w:val="both"/>
      </w:pPr>
    </w:p>
    <w:p w:rsidR="00000000" w:rsidRDefault="005829C2">
      <w:pPr>
        <w:pStyle w:val="FORMATTEXT"/>
        <w:ind w:firstLine="568"/>
        <w:jc w:val="both"/>
      </w:pPr>
      <w:r>
        <w:t>2 Повторная сертификация (аттестация) подразумевает повторное проведение полного или част</w:t>
      </w:r>
      <w:r>
        <w:t xml:space="preserve">ичного исследования однородности, стабильности и/или </w:t>
      </w:r>
      <w:proofErr w:type="spellStart"/>
      <w:r>
        <w:t>характеризации</w:t>
      </w:r>
      <w:proofErr w:type="spellEnd"/>
      <w:r>
        <w:t xml:space="preserve"> СО. Причиной повторной сертификации (аттестации) (при экономической целесообразности) может быть также улучшение </w:t>
      </w:r>
      <w:r>
        <w:lastRenderedPageBreak/>
        <w:t>измерительной возможности в конкретной области. Хотя образец может быть еще</w:t>
      </w:r>
      <w:r>
        <w:t xml:space="preserve"> достаточно хорошим, следует улучшить установление его значений параметров с тем, чтобы уменьшить их неопределенность, сделав образец снова полезным для потребителей ССО (АСО).</w:t>
      </w:r>
    </w:p>
    <w:p w:rsidR="00000000" w:rsidRDefault="005829C2">
      <w:pPr>
        <w:pStyle w:val="FORMATTEXT"/>
        <w:ind w:firstLine="568"/>
        <w:jc w:val="both"/>
      </w:pPr>
    </w:p>
    <w:p w:rsidR="00000000" w:rsidRDefault="005829C2">
      <w:pPr>
        <w:pStyle w:val="FORMATTEXT"/>
        <w:ind w:firstLine="568"/>
        <w:jc w:val="both"/>
      </w:pPr>
      <w:r>
        <w:t>3 Еще один вид повторной сертификации (аттестации), наблюдаемый на практике, п</w:t>
      </w:r>
      <w:r>
        <w:t>роводят вследствие постепенного изменения свойства материала. Примером этого типа может служить теплотворная способность угля, изменяющаяся с течением времени даже при хранении угля при наилучших условиях.</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7 Исследование однородности</w:t>
      </w: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7.1 Пре</w:t>
      </w:r>
      <w:r>
        <w:rPr>
          <w:b/>
          <w:bCs/>
          <w:color w:val="000001"/>
        </w:rPr>
        <w:t xml:space="preserve">амбула </w:t>
      </w:r>
    </w:p>
    <w:p w:rsidR="00000000" w:rsidRDefault="005829C2">
      <w:pPr>
        <w:pStyle w:val="FORMATTEXT"/>
        <w:ind w:firstLine="568"/>
        <w:jc w:val="both"/>
      </w:pPr>
      <w:r>
        <w:t>Большинство СО изготовлены в виде партий экземпляров (например, бутылочек, пробирок, образцов для испытаний). Последний этап изготовления многих СО - разделение на годные к применению экземпляры. Выборочная партия, состоящая обычно из 10-30 экземпл</w:t>
      </w:r>
      <w:r>
        <w:t>яров, проходит отбор для исследования однородности. Существуют различные методы отбора выборки из партии (например, случайный отбор, стратифицированный случайный отбор, систематический отбор). Планы случайного отбора или стратифицированного случайного отбо</w:t>
      </w:r>
      <w:r>
        <w:t>ра наиболее часто используют на практике, которые, как правило, обеспечивают получение выборочной партии, которая может быть рассмотрена как представительная для целой партии. Если известно, что в партии неоднородность не будет обнаружена, можно также испо</w:t>
      </w:r>
      <w:r>
        <w:t>льзовать план систематического отбора.</w:t>
      </w:r>
    </w:p>
    <w:p w:rsidR="00000000" w:rsidRDefault="005829C2">
      <w:pPr>
        <w:pStyle w:val="FORMATTEXT"/>
        <w:ind w:firstLine="568"/>
        <w:jc w:val="both"/>
      </w:pPr>
    </w:p>
    <w:p w:rsidR="00000000" w:rsidRDefault="005829C2">
      <w:pPr>
        <w:pStyle w:val="FORMATTEXT"/>
        <w:ind w:firstLine="568"/>
        <w:jc w:val="both"/>
      </w:pPr>
      <w:r>
        <w:t>Результаты исследования однородности между экземплярами</w:t>
      </w:r>
      <w:r w:rsidR="00862BD0">
        <w:rPr>
          <w:noProof/>
          <w:position w:val="-9"/>
        </w:rPr>
        <w:drawing>
          <wp:inline distT="0" distB="0" distL="0" distR="0">
            <wp:extent cx="85725" cy="219075"/>
            <wp:effectExtent l="0" t="0" r="9525" b="952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t xml:space="preserve"> дают оценку одной из составляющих неопределенности в модели сертификации (аттестации) (см. раздел 6). Величина этой составля</w:t>
      </w:r>
      <w:r>
        <w:t xml:space="preserve">ющей неопределенности может существенно меняться в зависимости в основном от природы СО. Этот вид исследования однородности применим только при выпуске сертификата (паспорта), действительного для партии изделий. </w:t>
      </w:r>
    </w:p>
    <w:p w:rsidR="00000000" w:rsidRDefault="005829C2">
      <w:pPr>
        <w:pStyle w:val="FORMATTEXT"/>
        <w:jc w:val="both"/>
      </w:pPr>
      <w:r>
        <w:t xml:space="preserve">________________ </w:t>
      </w:r>
    </w:p>
    <w:p w:rsidR="00000000" w:rsidRDefault="00862BD0">
      <w:pPr>
        <w:pStyle w:val="FORMATTEXT"/>
        <w:ind w:firstLine="568"/>
        <w:jc w:val="both"/>
      </w:pPr>
      <w:r>
        <w:rPr>
          <w:noProof/>
          <w:position w:val="-9"/>
        </w:rPr>
        <w:drawing>
          <wp:inline distT="0" distB="0" distL="0" distR="0">
            <wp:extent cx="85725" cy="219075"/>
            <wp:effectExtent l="0" t="0" r="9525" b="9525"/>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rsidR="005829C2">
        <w:t xml:space="preserve">При ссылке на "однородность между экземплярами" подразумевается, </w:t>
      </w:r>
      <w:proofErr w:type="gramStart"/>
      <w:r w:rsidR="005829C2">
        <w:t>что то</w:t>
      </w:r>
      <w:proofErr w:type="gramEnd"/>
      <w:r w:rsidR="005829C2">
        <w:t xml:space="preserve"> же самое относится к другим физическим формам СО, например, пробиркам или образцам для испытаний.</w:t>
      </w:r>
    </w:p>
    <w:p w:rsidR="00000000" w:rsidRDefault="005829C2">
      <w:pPr>
        <w:pStyle w:val="FORMATTEXT"/>
        <w:ind w:firstLine="568"/>
        <w:jc w:val="both"/>
      </w:pPr>
    </w:p>
    <w:p w:rsidR="00000000" w:rsidRDefault="005829C2">
      <w:pPr>
        <w:pStyle w:val="FORMATTEXT"/>
        <w:ind w:firstLine="568"/>
        <w:jc w:val="both"/>
      </w:pPr>
      <w:r>
        <w:t>Другим важным видом неоднородности является неоднородность внутри экземпля</w:t>
      </w:r>
      <w:r>
        <w:t>ра, влияние которой может быть значительно уменьшено при наличии надлежащих инструкций по применению. Эти инструкции могут предусматривать повторное смешивание образца и для гранулированных материалов - представительную пробу. Это наименьшая порция для тес</w:t>
      </w:r>
      <w:r>
        <w:t>тирования, которую при правильном отборе можно рассматривать как представительную для СО в пределах неопределенности сертифицированного (аттестованного) значения.</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7.2 Образцы </w:t>
      </w:r>
    </w:p>
    <w:p w:rsidR="00000000" w:rsidRDefault="005829C2">
      <w:pPr>
        <w:pStyle w:val="FORMATTEXT"/>
        <w:ind w:firstLine="568"/>
        <w:jc w:val="both"/>
      </w:pPr>
      <w:r>
        <w:t>Предполагается, что СО, приготовленные в виде растворов или чистых соеди</w:t>
      </w:r>
      <w:r>
        <w:t>нений (если сертифицированы (аттестованы) на чистоту, а не на примеси), имеют высокую степень однородности по физическим (термодинамическим) причинам. Эти образцы могут тем не менее проявлять гетерогенность, например, из-за градиента плотности или металлов</w:t>
      </w:r>
      <w:r>
        <w:t>, содержащих включенные газы. Цель исследования однородности этих образцов состоит преимущественно в обнаружении примесей, помех или дефектов, которые могут возникнуть вследствие необнаруженных проблем в процессе приготовления. В этих случаях ожидается, чт</w:t>
      </w:r>
      <w:r>
        <w:t xml:space="preserve">о во время исследований </w:t>
      </w:r>
      <w:proofErr w:type="spellStart"/>
      <w:r>
        <w:t>межэкземплярной</w:t>
      </w:r>
      <w:proofErr w:type="spellEnd"/>
      <w:r>
        <w:t xml:space="preserve"> однородности будет обнаружен очень незначительный, если не пренебрежимо малый вклад в неопределенность. Но даже в этих случаях, когда может предполагаться идеальная однородность, это предположение должно быть подтвер</w:t>
      </w:r>
      <w:r>
        <w:t>ждено экспериментально, путем проведения исследования однородности.</w:t>
      </w:r>
    </w:p>
    <w:p w:rsidR="00000000" w:rsidRDefault="005829C2">
      <w:pPr>
        <w:pStyle w:val="FORMATTEXT"/>
        <w:ind w:firstLine="568"/>
        <w:jc w:val="both"/>
      </w:pPr>
    </w:p>
    <w:p w:rsidR="00000000" w:rsidRDefault="005829C2">
      <w:pPr>
        <w:pStyle w:val="FORMATTEXT"/>
        <w:ind w:firstLine="568"/>
        <w:jc w:val="both"/>
      </w:pPr>
      <w:r>
        <w:t>Такие материалы, как порошковые смеси, руды, сплавы и т.п., неоднородны по составу по своей природе. СО, приготовленные из таких материалов, должны исследоваться для определения степени н</w:t>
      </w:r>
      <w:r>
        <w:t xml:space="preserve">еоднородности. Величина составляющей неопределенности от неоднородности между экземплярами может быть все же незначительной или даже пренебрежимо малой по сравнению с неопределенностью, связанной, например, с исследованием стабильности или </w:t>
      </w:r>
      <w:proofErr w:type="spellStart"/>
      <w:r>
        <w:t>характеризацией</w:t>
      </w:r>
      <w:proofErr w:type="spellEnd"/>
      <w:r>
        <w:t>,</w:t>
      </w:r>
      <w:r>
        <w:t xml:space="preserve"> но в некоторых случаях неизбежно, что она равна величине составляющей неопределенности от </w:t>
      </w:r>
      <w:proofErr w:type="spellStart"/>
      <w:r>
        <w:t>характеризации</w:t>
      </w:r>
      <w:proofErr w:type="spellEnd"/>
      <w:r>
        <w:t>. Многое зависит от вариантов уменьшения неоднородности партии, имеющихся на стадии приготовления образца.</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7.3 Понятие однородности </w:t>
      </w:r>
    </w:p>
    <w:p w:rsidR="00000000" w:rsidRDefault="005829C2">
      <w:pPr>
        <w:pStyle w:val="FORMATTEXT"/>
        <w:ind w:firstLine="568"/>
        <w:jc w:val="both"/>
      </w:pPr>
      <w:r>
        <w:lastRenderedPageBreak/>
        <w:t>Теоретичес</w:t>
      </w:r>
      <w:r>
        <w:t>ки материал считается идеально однородным относительно данной характеристики, если отсутствуют расхождения между значениями этой характеристики от одной части материала (одного экземпляра) до другой. Однако на практике материал признается однородным относи</w:t>
      </w:r>
      <w:r>
        <w:t xml:space="preserve">тельно данной характеристики, если расхождение между значениями этой характеристики от одной части материала (одного экземпляра) до другой пренебрежимо мало по сравнению с составляющей неопределенности, полученной, например, в результате </w:t>
      </w:r>
      <w:proofErr w:type="spellStart"/>
      <w:r>
        <w:t>характеризации</w:t>
      </w:r>
      <w:proofErr w:type="spellEnd"/>
      <w:r>
        <w:t>.</w:t>
      </w:r>
    </w:p>
    <w:p w:rsidR="00000000" w:rsidRDefault="005829C2">
      <w:pPr>
        <w:pStyle w:val="FORMATTEXT"/>
        <w:ind w:firstLine="568"/>
        <w:jc w:val="both"/>
      </w:pPr>
    </w:p>
    <w:p w:rsidR="00000000" w:rsidRDefault="005829C2">
      <w:pPr>
        <w:pStyle w:val="FORMATTEXT"/>
        <w:ind w:firstLine="568"/>
        <w:jc w:val="both"/>
      </w:pPr>
      <w:r>
        <w:t>С</w:t>
      </w:r>
      <w:r>
        <w:t xml:space="preserve">уществует экспериментальный предел обнаружения неопределенности партии </w:t>
      </w:r>
      <w:r>
        <w:rPr>
          <w:i/>
          <w:iCs/>
        </w:rPr>
        <w:t>и</w:t>
      </w:r>
      <w:r w:rsidR="00862BD0">
        <w:rPr>
          <w:noProof/>
          <w:position w:val="-10"/>
        </w:rPr>
        <w:drawing>
          <wp:inline distT="0" distB="0" distL="0" distR="0">
            <wp:extent cx="161925" cy="228600"/>
            <wp:effectExtent l="0" t="0" r="9525"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Pr>
          <w:i/>
          <w:iCs/>
        </w:rPr>
        <w:t>.</w:t>
      </w:r>
      <w:r>
        <w:t xml:space="preserve"> Не следует недооценивать эту составляющую неопределенности, возникающую вследствие недостатков, например, метода измерений. В частности, когда имею</w:t>
      </w:r>
      <w:r>
        <w:t xml:space="preserve">тся только методы с плохой повторяемостью, существует риск такой недооценки. Кроме того, выборочные пробы, отобранные для измерений, должны быть достаточно большими, чтобы этот вид отбора выборочной пробы не вносил значительный вклад в неопределенность от </w:t>
      </w:r>
      <w:r>
        <w:t>повторяемости измерений (см. также 7.10).</w:t>
      </w:r>
    </w:p>
    <w:p w:rsidR="00000000" w:rsidRDefault="005829C2">
      <w:pPr>
        <w:pStyle w:val="FORMATTEXT"/>
        <w:ind w:firstLine="568"/>
        <w:jc w:val="both"/>
      </w:pPr>
    </w:p>
    <w:p w:rsidR="00000000" w:rsidRDefault="005829C2">
      <w:pPr>
        <w:pStyle w:val="FORMATTEXT"/>
        <w:ind w:firstLine="568"/>
        <w:jc w:val="both"/>
      </w:pPr>
      <w:r>
        <w:t>В этом подразделе рассматривается в основном совокупная неоднородность, так как для большинства СО наиболее важен этот тип неоднородности. Но существуют важные исключения. Например, при анализе поверхности СО могу</w:t>
      </w:r>
      <w:r>
        <w:t>т быть в виде пластины или фольги. Наиболее значимая неоднородность будет, конечно, иметь место вдоль поверхности, а не в направлении, перпендикулярном поверхности. Большинство соображений в этом подразделе также справедливы для других типов неоднородности</w:t>
      </w:r>
      <w:r>
        <w:t>, но предложенные рекомендации следует сравнить с более специализированной литературой, включая международные стандарты, в которых описываются соответствующие методы измерений.</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7.4 Практика </w:t>
      </w:r>
    </w:p>
    <w:p w:rsidR="00000000" w:rsidRDefault="005829C2">
      <w:pPr>
        <w:pStyle w:val="FORMATTEXT"/>
        <w:ind w:firstLine="568"/>
        <w:jc w:val="both"/>
      </w:pPr>
      <w:r>
        <w:t>В идеальном случае СО должен быть охарактеризован в отнош</w:t>
      </w:r>
      <w:r>
        <w:t>ении степени неоднородности для каждой сертифицируемой (аттестуемой) характеристики. Для СО, сертифицируемых (аттестуемых) на относительно большое число параметров, оценка степени неоднородности для всех характеристик может быть обременительна как экономич</w:t>
      </w:r>
      <w:r>
        <w:t>ески, так и физически, а в некоторых случаях нецелесообразна. Следует, однако, понимать, что качество выпущенного СО зависит (среди прочего) от правильной оценки неоднородности партии.</w:t>
      </w:r>
    </w:p>
    <w:p w:rsidR="00000000" w:rsidRDefault="005829C2">
      <w:pPr>
        <w:pStyle w:val="FORMATTEXT"/>
        <w:ind w:firstLine="568"/>
        <w:jc w:val="both"/>
      </w:pPr>
    </w:p>
    <w:p w:rsidR="00000000" w:rsidRDefault="005829C2">
      <w:pPr>
        <w:pStyle w:val="FORMATTEXT"/>
        <w:ind w:firstLine="568"/>
        <w:jc w:val="both"/>
      </w:pPr>
      <w:r>
        <w:t>На практике степень однородности таких СО может (при определенных усло</w:t>
      </w:r>
      <w:r>
        <w:t>виях) быть оценена только для определенных характеристик, если предпочитаемый подход нецелесообразен. Важно, чтобы эти характеристики были правильно выбраны на основе установленных химических или физических зависимостей; например, межэлементное сосуществов</w:t>
      </w:r>
      <w:r>
        <w:t>ание в минеральных фазах СО дает основание предположить, что этот СО имеет также аналогичную степень однородности для невыбранных элементов. Другие примеры, где возможно уменьшение числа характеристик, включенных в исследование неоднородности, включают ант</w:t>
      </w:r>
      <w:r>
        <w:t>рацит и лигнит (бурый уголь), где неоднородность является свойством, отраженным содержанием золы и содержанием серы. Для других характеристик неоднородность партии обычно меньше, чем для этих характеристик.</w:t>
      </w:r>
    </w:p>
    <w:p w:rsidR="00000000" w:rsidRDefault="005829C2">
      <w:pPr>
        <w:pStyle w:val="FORMATTEXT"/>
        <w:ind w:firstLine="568"/>
        <w:jc w:val="both"/>
      </w:pPr>
    </w:p>
    <w:p w:rsidR="00000000" w:rsidRDefault="005829C2">
      <w:pPr>
        <w:pStyle w:val="FORMATTEXT"/>
        <w:ind w:firstLine="568"/>
        <w:jc w:val="both"/>
      </w:pPr>
      <w:r>
        <w:t>В любом случае следует получить дополнительное п</w:t>
      </w:r>
      <w:r>
        <w:t xml:space="preserve">одтверждение однородности характеристик, не охваченных экспериментально при исследовании однородности. Такое подтверждение можно получить, например, из литературы, через исследование стабильности или </w:t>
      </w:r>
      <w:proofErr w:type="spellStart"/>
      <w:r>
        <w:t>характеризацию</w:t>
      </w:r>
      <w:proofErr w:type="spellEnd"/>
      <w:r>
        <w:t xml:space="preserve"> материала. Подтверждение, полученное таки</w:t>
      </w:r>
      <w:r>
        <w:t>м образом, позволит количественный перенос величины неоднородности, установленной для одной характеристики, на другую с достаточным подтверждением, что степень неопределенности не является недооцененной.</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7.5 Измерения </w:t>
      </w:r>
    </w:p>
    <w:p w:rsidR="00000000" w:rsidRDefault="005829C2">
      <w:pPr>
        <w:pStyle w:val="FORMATTEXT"/>
        <w:ind w:firstLine="568"/>
        <w:jc w:val="both"/>
      </w:pPr>
      <w:r>
        <w:t>Измерения в исследованиях одн</w:t>
      </w:r>
      <w:r>
        <w:t xml:space="preserve">ородности должны выполнять в условиях повторяемости (см. определение условий повторяемости в ИСО 5725-1 [1]). Кроме того, стандартное отклонение повторяемости метода измерений должно быть незначительным. Следует по возможности стремиться к такой ситуации, </w:t>
      </w:r>
      <w:r>
        <w:t>при которой неопределенность измерений при анализе проб из одного экземпляра (</w:t>
      </w:r>
      <w:r w:rsidR="00862BD0">
        <w:rPr>
          <w:noProof/>
          <w:position w:val="-10"/>
        </w:rPr>
        <w:drawing>
          <wp:inline distT="0" distB="0" distL="0" distR="0">
            <wp:extent cx="466725" cy="238125"/>
            <wp:effectExtent l="0" t="0" r="9525" b="9525"/>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6725" cy="238125"/>
                    </a:xfrm>
                    <a:prstGeom prst="rect">
                      <a:avLst/>
                    </a:prstGeom>
                    <a:noFill/>
                    <a:ln>
                      <a:noFill/>
                    </a:ln>
                  </pic:spPr>
                </pic:pic>
              </a:graphicData>
            </a:graphic>
          </wp:inline>
        </w:drawing>
      </w:r>
      <w:r>
        <w:t>) будет значительно меньше, чем (ожидаемая) суммарная стандартная неопределенность значения параметра. В некоторых случаях это невыполнимо, и м</w:t>
      </w:r>
      <w:r>
        <w:t>ожет потребоваться альтернативный подход, описанный в 7.9 [19], приводящий к высокой оценке неопределенности.</w:t>
      </w:r>
    </w:p>
    <w:p w:rsidR="00000000" w:rsidRDefault="005829C2">
      <w:pPr>
        <w:pStyle w:val="FORMATTEXT"/>
        <w:ind w:firstLine="568"/>
        <w:jc w:val="both"/>
      </w:pPr>
    </w:p>
    <w:p w:rsidR="00000000" w:rsidRDefault="005829C2">
      <w:pPr>
        <w:pStyle w:val="FORMATTEXT"/>
        <w:ind w:firstLine="568"/>
        <w:jc w:val="both"/>
      </w:pPr>
      <w:r>
        <w:t>Измерения должны выполнять таким образом, чтобы можно было отделить тренд (дрейф) в измерениях от тренда в партии образцов. Это может быть достиг</w:t>
      </w:r>
      <w:r>
        <w:t>нуто путем повторных измерений образцов, используемых в исследованиях однородности в случайном порядке. И наоборот, порядок измерений проб может быть также обратным между повторными измерениями, как в этом примере:</w:t>
      </w:r>
    </w:p>
    <w:p w:rsidR="00000000" w:rsidRDefault="005829C2">
      <w:pPr>
        <w:pStyle w:val="FORMATTEXT"/>
        <w:ind w:firstLine="568"/>
        <w:jc w:val="both"/>
      </w:pPr>
    </w:p>
    <w:p w:rsidR="00000000" w:rsidRDefault="005829C2">
      <w:pPr>
        <w:pStyle w:val="FORMATTEXT"/>
        <w:ind w:firstLine="568"/>
        <w:jc w:val="both"/>
      </w:pPr>
      <w:r>
        <w:rPr>
          <w:b/>
          <w:bCs/>
          <w:i/>
          <w:iCs/>
        </w:rPr>
        <w:t>Пример</w:t>
      </w:r>
      <w:r>
        <w:t xml:space="preserve"> - </w:t>
      </w:r>
      <w:r>
        <w:rPr>
          <w:b/>
          <w:bCs/>
          <w:i/>
          <w:iCs/>
        </w:rPr>
        <w:t>Предположим, для исследования о</w:t>
      </w:r>
      <w:r>
        <w:rPr>
          <w:b/>
          <w:bCs/>
          <w:i/>
          <w:iCs/>
        </w:rPr>
        <w:t>днородности используется 10 образцов с тремя повторными измерениями. Схема выполнения измерений выглядит таким образом:</w:t>
      </w:r>
    </w:p>
    <w:p w:rsidR="00000000" w:rsidRDefault="005829C2">
      <w:pPr>
        <w:pStyle w:val="FORMATTEXT"/>
        <w:ind w:firstLine="568"/>
        <w:jc w:val="both"/>
      </w:pPr>
    </w:p>
    <w:p w:rsidR="00000000" w:rsidRDefault="005829C2">
      <w:pPr>
        <w:pStyle w:val="FORMATTEXT"/>
        <w:ind w:firstLine="568"/>
        <w:jc w:val="both"/>
      </w:pPr>
      <w:r>
        <w:rPr>
          <w:b/>
          <w:bCs/>
          <w:i/>
          <w:iCs/>
        </w:rPr>
        <w:t>Повторные измерения N 1:1 -3 -5 -7 -9 -2 -4 -6 -8 -10</w:t>
      </w:r>
    </w:p>
    <w:p w:rsidR="00000000" w:rsidRDefault="005829C2">
      <w:pPr>
        <w:pStyle w:val="FORMATTEXT"/>
        <w:ind w:firstLine="568"/>
        <w:jc w:val="both"/>
      </w:pPr>
    </w:p>
    <w:p w:rsidR="00000000" w:rsidRDefault="005829C2">
      <w:pPr>
        <w:pStyle w:val="FORMATTEXT"/>
        <w:ind w:firstLine="568"/>
        <w:jc w:val="both"/>
      </w:pPr>
      <w:r>
        <w:rPr>
          <w:b/>
          <w:bCs/>
          <w:i/>
          <w:iCs/>
        </w:rPr>
        <w:t>Повторные измерения N 2:10 -9 -8 -7 -6 -5 -4 -3 -2 -1</w:t>
      </w:r>
    </w:p>
    <w:p w:rsidR="00000000" w:rsidRDefault="005829C2">
      <w:pPr>
        <w:pStyle w:val="FORMATTEXT"/>
        <w:ind w:firstLine="568"/>
        <w:jc w:val="both"/>
      </w:pPr>
    </w:p>
    <w:p w:rsidR="00000000" w:rsidRDefault="005829C2">
      <w:pPr>
        <w:pStyle w:val="FORMATTEXT"/>
        <w:ind w:firstLine="568"/>
        <w:jc w:val="both"/>
      </w:pPr>
      <w:r>
        <w:rPr>
          <w:b/>
          <w:bCs/>
          <w:i/>
          <w:iCs/>
        </w:rPr>
        <w:t xml:space="preserve">Повторные измерения N 3: </w:t>
      </w:r>
      <w:r>
        <w:rPr>
          <w:b/>
          <w:bCs/>
          <w:i/>
          <w:iCs/>
        </w:rPr>
        <w:t>2 -4 -6 -8 -10 -1 -3 -5 -7 -9</w:t>
      </w:r>
    </w:p>
    <w:p w:rsidR="00000000" w:rsidRDefault="005829C2">
      <w:pPr>
        <w:pStyle w:val="FORMATTEXT"/>
        <w:ind w:firstLine="568"/>
        <w:jc w:val="both"/>
      </w:pPr>
    </w:p>
    <w:p w:rsidR="00000000" w:rsidRDefault="005829C2">
      <w:pPr>
        <w:pStyle w:val="FORMATTEXT"/>
        <w:ind w:firstLine="568"/>
        <w:jc w:val="both"/>
      </w:pPr>
      <w:r>
        <w:rPr>
          <w:b/>
          <w:bCs/>
          <w:i/>
          <w:iCs/>
        </w:rPr>
        <w:t>Можно обнаружить тренд вследствие дрейфа в измерениях, выполняя анализ тренда в точном порядке выполнения измерений. Тренд от приготовления можно обнаружить, анализируя полученные средние значения для каждого экземпляра как ф</w:t>
      </w:r>
      <w:r>
        <w:rPr>
          <w:b/>
          <w:bCs/>
          <w:i/>
          <w:iCs/>
        </w:rPr>
        <w:t>ункцию их порядкового номера. Поэтому важно, чтобы порядковый номер партии пробы был логически связан с процессом приготовления пробы и, в частности, с процессом деления на выборочные пробы.</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7.6 Статистически обоснованные схемы отбора проб и анализ</w:t>
      </w:r>
      <w:r>
        <w:rPr>
          <w:b/>
          <w:bCs/>
          <w:color w:val="000001"/>
        </w:rPr>
        <w:t xml:space="preserve"> тренда </w:t>
      </w:r>
    </w:p>
    <w:p w:rsidR="00000000" w:rsidRDefault="005829C2">
      <w:pPr>
        <w:pStyle w:val="FORMATTEXT"/>
        <w:ind w:firstLine="568"/>
        <w:jc w:val="both"/>
      </w:pPr>
      <w:r>
        <w:t>Схема отбора проб, применяемая для отбора экземпляров (изделий) при исследовании однородности, может быть случайной, стратифицировано-случайной и в некоторых случаях систематической. Схема отбора проб должна учитывать возможное отрицательное влиян</w:t>
      </w:r>
      <w:r>
        <w:t>ие метода приготовления проб, позволяя таким образом провести критическое изучение подготовленной партии. Стратификация рекомендуется во многих ситуациях, т.к. при этом гарантируется равномерное распределение экземпляров, выбранных для исследования однород</w:t>
      </w:r>
      <w:r>
        <w:t>ности во всей партии. Систематические схемы могут применяться в тех случаях, где практически отсутствует риск не заметить систематические эффекты или тренды в партии.</w:t>
      </w:r>
    </w:p>
    <w:p w:rsidR="00000000" w:rsidRDefault="005829C2">
      <w:pPr>
        <w:pStyle w:val="FORMATTEXT"/>
        <w:ind w:firstLine="568"/>
        <w:jc w:val="both"/>
      </w:pPr>
    </w:p>
    <w:p w:rsidR="00000000" w:rsidRDefault="005829C2">
      <w:pPr>
        <w:pStyle w:val="FORMATTEXT"/>
        <w:ind w:firstLine="568"/>
        <w:jc w:val="both"/>
      </w:pPr>
      <w:r>
        <w:t xml:space="preserve">Измерения следует выполнять таким образом, чтобы тренды, которые могут присутствовать в </w:t>
      </w:r>
      <w:r>
        <w:t>пробах, и тренды, которые могут присутствовать в самих измерениях, не влияли друг на друга. В схеме измерений это может быть достигнуто, например, рандомизацией порядка экземпляров в сочетании с изменением порядка измерения проб.</w:t>
      </w:r>
    </w:p>
    <w:p w:rsidR="00000000" w:rsidRDefault="005829C2">
      <w:pPr>
        <w:pStyle w:val="FORMATTEXT"/>
        <w:ind w:firstLine="568"/>
        <w:jc w:val="both"/>
      </w:pPr>
    </w:p>
    <w:p w:rsidR="00000000" w:rsidRDefault="005829C2">
      <w:pPr>
        <w:pStyle w:val="FORMATTEXT"/>
        <w:ind w:firstLine="568"/>
        <w:jc w:val="both"/>
      </w:pPr>
      <w:r>
        <w:t>Перед определением величи</w:t>
      </w:r>
      <w:r>
        <w:t>ны стандартной неопределенности от неоднородности между экземплярами полученные экспериментальные данные должны быть проверены на тренды. В 8.3.1 основной способ анализа тренда дан в контексте исследований стабильности; эту методологию можно также использо</w:t>
      </w:r>
      <w:r>
        <w:t>вать для данных исследования однородности как функции номера экземпляра. Если в экземплярах присутствует значительный тренд, тогда, как правило, изготовленная партия считается неподходящей для сертификации (аттестации) партии. Тренд в результатах измерений</w:t>
      </w:r>
      <w:r>
        <w:t xml:space="preserve"> - это то, на что надо делать поправку независимо от того, является он статистически значимым или нет. Метод анализа тренда и при необходимости внесения поправки на дрейф прибора - это включение образца для контроля качества, который может быть подан непос</w:t>
      </w:r>
      <w:r>
        <w:t>редственно в прибор. При наблюдении тренда в партии может потребоваться повторный план процедуры разделения на выборочные пробы для эффективного исключения тренда из партии.</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7.7 Оценка исследования однородности </w:t>
      </w:r>
    </w:p>
    <w:p w:rsidR="00000000" w:rsidRDefault="005829C2">
      <w:pPr>
        <w:pStyle w:val="FORMATTEXT"/>
        <w:ind w:firstLine="568"/>
        <w:jc w:val="both"/>
      </w:pPr>
      <w:r>
        <w:t>Основная модель исследования однород</w:t>
      </w:r>
      <w:r>
        <w:t xml:space="preserve">ности с использованием </w:t>
      </w:r>
      <w:r>
        <w:rPr>
          <w:i/>
          <w:iCs/>
        </w:rPr>
        <w:t>i</w:t>
      </w:r>
      <w:r>
        <w:t>=1...</w:t>
      </w:r>
      <w:r>
        <w:rPr>
          <w:i/>
          <w:iCs/>
        </w:rPr>
        <w:t>а</w:t>
      </w:r>
      <w:r>
        <w:t xml:space="preserve"> экземпляров и </w:t>
      </w:r>
      <w:r>
        <w:rPr>
          <w:i/>
          <w:iCs/>
        </w:rPr>
        <w:t>j</w:t>
      </w:r>
      <w:r>
        <w:t xml:space="preserve">=1 ... </w:t>
      </w:r>
      <w:r>
        <w:rPr>
          <w:i/>
          <w:iCs/>
        </w:rPr>
        <w:t>n</w:t>
      </w:r>
      <w:r w:rsidR="00862BD0">
        <w:rPr>
          <w:noProof/>
          <w:position w:val="-10"/>
        </w:rPr>
        <w:drawing>
          <wp:inline distT="0" distB="0" distL="0" distR="0">
            <wp:extent cx="85725" cy="228600"/>
            <wp:effectExtent l="0" t="0" r="9525"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t xml:space="preserve"> измерений может быть выражена в виде [20]-[22]:</w:t>
      </w:r>
    </w:p>
    <w:p w:rsidR="00000000" w:rsidRDefault="005829C2">
      <w:pPr>
        <w:pStyle w:val="FORMATTEXT"/>
        <w:ind w:firstLine="568"/>
        <w:jc w:val="both"/>
      </w:pPr>
    </w:p>
    <w:p w:rsidR="00000000" w:rsidRDefault="00862BD0">
      <w:pPr>
        <w:pStyle w:val="FORMATTEXT"/>
        <w:jc w:val="right"/>
      </w:pPr>
      <w:r>
        <w:rPr>
          <w:noProof/>
          <w:position w:val="-10"/>
        </w:rPr>
        <w:drawing>
          <wp:inline distT="0" distB="0" distL="0" distR="0">
            <wp:extent cx="1000125" cy="238125"/>
            <wp:effectExtent l="0" t="0" r="9525" b="9525"/>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00125" cy="238125"/>
                    </a:xfrm>
                    <a:prstGeom prst="rect">
                      <a:avLst/>
                    </a:prstGeom>
                    <a:noFill/>
                    <a:ln>
                      <a:noFill/>
                    </a:ln>
                  </pic:spPr>
                </pic:pic>
              </a:graphicData>
            </a:graphic>
          </wp:inline>
        </w:drawing>
      </w:r>
      <w:r w:rsidR="005829C2">
        <w:t xml:space="preserve">,                                                                  (3) </w:t>
      </w:r>
    </w:p>
    <w:p w:rsidR="00000000" w:rsidRDefault="005829C2">
      <w:pPr>
        <w:pStyle w:val="FORMATTEXT"/>
        <w:jc w:val="both"/>
      </w:pPr>
    </w:p>
    <w:p w:rsidR="00000000" w:rsidRDefault="005829C2">
      <w:pPr>
        <w:pStyle w:val="FORMATTEXT"/>
        <w:jc w:val="both"/>
      </w:pPr>
    </w:p>
    <w:p w:rsidR="00000000" w:rsidRDefault="005829C2">
      <w:pPr>
        <w:pStyle w:val="FORMATTEXT"/>
        <w:jc w:val="both"/>
      </w:pPr>
      <w:r>
        <w:t xml:space="preserve">где </w:t>
      </w:r>
      <w:r>
        <w:rPr>
          <w:i/>
          <w:iCs/>
        </w:rPr>
        <w:t>x</w:t>
      </w:r>
      <w:r w:rsidR="00862BD0">
        <w:rPr>
          <w:noProof/>
          <w:position w:val="-10"/>
        </w:rPr>
        <w:drawing>
          <wp:inline distT="0" distB="0" distL="0" distR="0">
            <wp:extent cx="114300" cy="238125"/>
            <wp:effectExtent l="0" t="0" r="0" b="9525"/>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238125"/>
                    </a:xfrm>
                    <a:prstGeom prst="rect">
                      <a:avLst/>
                    </a:prstGeom>
                    <a:noFill/>
                    <a:ln>
                      <a:noFill/>
                    </a:ln>
                  </pic:spPr>
                </pic:pic>
              </a:graphicData>
            </a:graphic>
          </wp:inline>
        </w:drawing>
      </w:r>
      <w:r>
        <w:t xml:space="preserve"> - результат отдельного измерения в исследовании однородности; </w:t>
      </w:r>
      <w:r w:rsidR="00862BD0">
        <w:rPr>
          <w:noProof/>
          <w:position w:val="-7"/>
        </w:rPr>
        <w:drawing>
          <wp:inline distT="0" distB="0" distL="0" distR="0">
            <wp:extent cx="123825" cy="161925"/>
            <wp:effectExtent l="0" t="0" r="9525" b="9525"/>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t xml:space="preserve">- (математическое) ожидание </w:t>
      </w:r>
      <w:r>
        <w:rPr>
          <w:i/>
          <w:iCs/>
        </w:rPr>
        <w:t>x</w:t>
      </w:r>
      <w:r w:rsidR="00862BD0">
        <w:rPr>
          <w:noProof/>
          <w:position w:val="-10"/>
        </w:rPr>
        <w:drawing>
          <wp:inline distT="0" distB="0" distL="0" distR="0">
            <wp:extent cx="114300" cy="238125"/>
            <wp:effectExtent l="0" t="0" r="0" b="9525"/>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238125"/>
                    </a:xfrm>
                    <a:prstGeom prst="rect">
                      <a:avLst/>
                    </a:prstGeom>
                    <a:noFill/>
                    <a:ln>
                      <a:noFill/>
                    </a:ln>
                  </pic:spPr>
                </pic:pic>
              </a:graphicData>
            </a:graphic>
          </wp:inline>
        </w:drawing>
      </w:r>
      <w:r>
        <w:t>, это значение, которое принимает среднее по совокупности (ср</w:t>
      </w:r>
      <w:r>
        <w:t xml:space="preserve">еднее средних значений) при числе повторных измерений, стремящихся к бесконечности. Если измерения несмещенные, тогда </w:t>
      </w:r>
      <w:r w:rsidR="00862BD0">
        <w:rPr>
          <w:noProof/>
          <w:position w:val="-7"/>
        </w:rPr>
        <w:drawing>
          <wp:inline distT="0" distB="0" distL="0" distR="0">
            <wp:extent cx="123825" cy="161925"/>
            <wp:effectExtent l="0" t="0" r="9525" b="9525"/>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t xml:space="preserve">равно истинному значению. Члены </w:t>
      </w:r>
      <w:r>
        <w:rPr>
          <w:i/>
          <w:iCs/>
        </w:rPr>
        <w:t>A</w:t>
      </w:r>
      <w:r w:rsidR="00862BD0">
        <w:rPr>
          <w:noProof/>
          <w:position w:val="-10"/>
        </w:rPr>
        <w:drawing>
          <wp:inline distT="0" distB="0" distL="0" distR="0">
            <wp:extent cx="85725" cy="228600"/>
            <wp:effectExtent l="0" t="0" r="9525"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t xml:space="preserve"> и </w:t>
      </w:r>
      <w:r w:rsidR="00862BD0">
        <w:rPr>
          <w:noProof/>
          <w:position w:val="-10"/>
        </w:rPr>
        <w:drawing>
          <wp:inline distT="0" distB="0" distL="0" distR="0">
            <wp:extent cx="180975" cy="238125"/>
            <wp:effectExtent l="0" t="0" r="9525" b="9525"/>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являются остаточными членами, характеризующими </w:t>
      </w:r>
      <w:proofErr w:type="spellStart"/>
      <w:r>
        <w:t>межэкземплярную</w:t>
      </w:r>
      <w:proofErr w:type="spellEnd"/>
      <w:r>
        <w:t xml:space="preserve"> однородность и случайную погрешность измерений. Дисперсии этих членов являются дисперсией между экземплярами и дисперсией повторяемости соответственно. Обычно можно предположить, что </w:t>
      </w:r>
      <w:r>
        <w:rPr>
          <w:i/>
          <w:iCs/>
        </w:rPr>
        <w:t>A</w:t>
      </w:r>
      <w:r w:rsidR="00862BD0">
        <w:rPr>
          <w:noProof/>
          <w:position w:val="-10"/>
        </w:rPr>
        <w:drawing>
          <wp:inline distT="0" distB="0" distL="0" distR="0">
            <wp:extent cx="85725" cy="228600"/>
            <wp:effectExtent l="0" t="0" r="9525"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t xml:space="preserve"> и </w:t>
      </w:r>
      <w:r w:rsidR="00862BD0">
        <w:rPr>
          <w:noProof/>
          <w:position w:val="-10"/>
        </w:rPr>
        <w:drawing>
          <wp:inline distT="0" distB="0" distL="0" distR="0">
            <wp:extent cx="180975" cy="238125"/>
            <wp:effectExtent l="0" t="0" r="9525" b="9525"/>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статистически независимы, т.е. однородность между экземплярами </w:t>
      </w:r>
      <w:r>
        <w:lastRenderedPageBreak/>
        <w:t xml:space="preserve">не влияет на повторяемость измерений, и наоборот. Кроме того, часто можно предположить, что переменная </w:t>
      </w:r>
      <w:r>
        <w:rPr>
          <w:i/>
          <w:iCs/>
        </w:rPr>
        <w:t>A</w:t>
      </w:r>
      <w:r w:rsidR="00862BD0">
        <w:rPr>
          <w:noProof/>
          <w:position w:val="-10"/>
        </w:rPr>
        <w:drawing>
          <wp:inline distT="0" distB="0" distL="0" distR="0">
            <wp:extent cx="85725" cy="228600"/>
            <wp:effectExtent l="0" t="0" r="9525"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t xml:space="preserve"> имеет нормальное распределение при нулевом значении среднего и </w:t>
      </w:r>
      <w:proofErr w:type="gramStart"/>
      <w:r>
        <w:t xml:space="preserve">дисперсии </w:t>
      </w:r>
      <w:r w:rsidR="00862BD0">
        <w:rPr>
          <w:noProof/>
          <w:position w:val="-11"/>
        </w:rPr>
        <w:drawing>
          <wp:inline distT="0" distB="0" distL="0" distR="0">
            <wp:extent cx="228600" cy="257175"/>
            <wp:effectExtent l="0" t="0" r="0" b="9525"/>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28600" cy="257175"/>
                    </a:xfrm>
                    <a:prstGeom prst="rect">
                      <a:avLst/>
                    </a:prstGeom>
                    <a:noFill/>
                    <a:ln>
                      <a:noFill/>
                    </a:ln>
                  </pic:spPr>
                </pic:pic>
              </a:graphicData>
            </a:graphic>
          </wp:inline>
        </w:drawing>
      </w:r>
      <w:r>
        <w:rPr>
          <w:i/>
          <w:iCs/>
        </w:rPr>
        <w:t>.</w:t>
      </w:r>
      <w:proofErr w:type="gramEnd"/>
      <w:r>
        <w:t xml:space="preserve"> Также можно предположить, что случайная погрешность измерений </w:t>
      </w:r>
      <w:r w:rsidR="00862BD0">
        <w:rPr>
          <w:noProof/>
          <w:position w:val="-10"/>
        </w:rPr>
        <w:drawing>
          <wp:inline distT="0" distB="0" distL="0" distR="0">
            <wp:extent cx="180975" cy="238125"/>
            <wp:effectExtent l="0" t="0" r="9525" b="9525"/>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является нормально распределенным</w:t>
      </w:r>
      <w:r>
        <w:t xml:space="preserve">и переменными при нулевом среднем и дисперсии </w:t>
      </w:r>
      <w:r w:rsidR="00862BD0">
        <w:rPr>
          <w:noProof/>
          <w:position w:val="-12"/>
        </w:rPr>
        <w:drawing>
          <wp:inline distT="0" distB="0" distL="0" distR="0">
            <wp:extent cx="200025" cy="295275"/>
            <wp:effectExtent l="0" t="0" r="9525" b="9525"/>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00025" cy="295275"/>
                    </a:xfrm>
                    <a:prstGeom prst="rect">
                      <a:avLst/>
                    </a:prstGeom>
                    <a:noFill/>
                    <a:ln>
                      <a:noFill/>
                    </a:ln>
                  </pic:spPr>
                </pic:pic>
              </a:graphicData>
            </a:graphic>
          </wp:inline>
        </w:drawing>
      </w:r>
      <w:r>
        <w:t xml:space="preserve">[21]. </w:t>
      </w:r>
    </w:p>
    <w:p w:rsidR="00000000" w:rsidRDefault="005829C2">
      <w:pPr>
        <w:pStyle w:val="FORMATTEXT"/>
        <w:ind w:firstLine="568"/>
        <w:jc w:val="both"/>
      </w:pPr>
      <w:r>
        <w:t xml:space="preserve">Для исследования однородности между экземплярами можно разработать различные планы экспериментов. В приложении Б.2 описан пример использования полностью иерархического </w:t>
      </w:r>
      <w:r>
        <w:t>однофакторного дисперсионного анализа.</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w:t>
      </w: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7.8 Исследование </w:t>
      </w:r>
      <w:proofErr w:type="spellStart"/>
      <w:r>
        <w:rPr>
          <w:b/>
          <w:bCs/>
          <w:color w:val="000001"/>
        </w:rPr>
        <w:t>межэкземплярной</w:t>
      </w:r>
      <w:proofErr w:type="spellEnd"/>
      <w:r>
        <w:rPr>
          <w:b/>
          <w:bCs/>
          <w:color w:val="000001"/>
        </w:rPr>
        <w:t xml:space="preserve"> однородности </w:t>
      </w:r>
    </w:p>
    <w:p w:rsidR="00000000" w:rsidRDefault="005829C2">
      <w:pPr>
        <w:pStyle w:val="FORMATTEXT"/>
        <w:ind w:firstLine="568"/>
        <w:jc w:val="both"/>
      </w:pPr>
      <w:r>
        <w:t xml:space="preserve">Цель исследования </w:t>
      </w:r>
      <w:proofErr w:type="spellStart"/>
      <w:r>
        <w:t>межэкземплярной</w:t>
      </w:r>
      <w:proofErr w:type="spellEnd"/>
      <w:r>
        <w:t xml:space="preserve"> однородности заключается в определении отклонения значений сертифицируемой (аттестуемой) характеристики между экземпляр</w:t>
      </w:r>
      <w:r>
        <w:t>ами. "Группы", как описано в предыдущем разделе, представляют экземпляры (упаковки). Две типичные экспериментальные модели исследования однородности между экземплярами изображены на рисунках 1 и 2.</w:t>
      </w:r>
    </w:p>
    <w:p w:rsidR="00000000" w:rsidRDefault="005829C2">
      <w:pPr>
        <w:pStyle w:val="FORMATTEXT"/>
        <w:ind w:firstLine="568"/>
        <w:jc w:val="both"/>
      </w:pPr>
    </w:p>
    <w:p w:rsidR="00000000" w:rsidRDefault="005829C2">
      <w:pPr>
        <w:pStyle w:val="FORMATTEXT"/>
        <w:ind w:firstLine="568"/>
        <w:jc w:val="both"/>
      </w:pPr>
      <w:r>
        <w:t>На рисунке 1 показан идеальный случай, когда есть возможн</w:t>
      </w:r>
      <w:r>
        <w:t xml:space="preserve">ость отобрать </w:t>
      </w:r>
      <w:proofErr w:type="spellStart"/>
      <w:r>
        <w:t>подвыборку</w:t>
      </w:r>
      <w:proofErr w:type="spellEnd"/>
      <w:r>
        <w:t xml:space="preserve"> экземпляров, и это было сделано. При этом плане эксперимента вследствие того, что из каждой пробы от партии были взяты и отдельно преобразованы многочисленные навески, дисперсия "между экземплярами" включает только </w:t>
      </w:r>
      <w:proofErr w:type="spellStart"/>
      <w:r>
        <w:t>междуэкземплярну</w:t>
      </w:r>
      <w:r>
        <w:t>ю</w:t>
      </w:r>
      <w:proofErr w:type="spellEnd"/>
      <w:r>
        <w:t xml:space="preserve"> однородность, тогда как дисперсия "внутри экземпляров" включает неопределенность измерений, преобразования и отбора выборочных проб. С учетом перспективы получения несмещенной оценки неоднородности материала это идеальная ситуация.</w:t>
      </w:r>
    </w:p>
    <w:p w:rsidR="00000000" w:rsidRDefault="005829C2">
      <w:pPr>
        <w:pStyle w:val="FORMATTEXT"/>
        <w:ind w:firstLine="568"/>
        <w:jc w:val="both"/>
      </w:pPr>
    </w:p>
    <w:p w:rsidR="00000000" w:rsidRDefault="00862BD0">
      <w:pPr>
        <w:pStyle w:val="TOPLEVELTEXT"/>
        <w:jc w:val="center"/>
      </w:pPr>
      <w:r>
        <w:rPr>
          <w:noProof/>
          <w:position w:val="-106"/>
        </w:rPr>
        <w:drawing>
          <wp:inline distT="0" distB="0" distL="0" distR="0">
            <wp:extent cx="3095625" cy="2695575"/>
            <wp:effectExtent l="0" t="0" r="9525" b="9525"/>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095625" cy="2695575"/>
                    </a:xfrm>
                    <a:prstGeom prst="rect">
                      <a:avLst/>
                    </a:prstGeom>
                    <a:noFill/>
                    <a:ln>
                      <a:noFill/>
                    </a:ln>
                  </pic:spPr>
                </pic:pic>
              </a:graphicData>
            </a:graphic>
          </wp:inline>
        </w:drawing>
      </w:r>
    </w:p>
    <w:p w:rsidR="00000000" w:rsidRDefault="005829C2">
      <w:pPr>
        <w:pStyle w:val="FORMATTEXT"/>
        <w:jc w:val="center"/>
      </w:pPr>
    </w:p>
    <w:p w:rsidR="00000000" w:rsidRDefault="005829C2">
      <w:pPr>
        <w:pStyle w:val="FORMATTEXT"/>
        <w:jc w:val="center"/>
      </w:pPr>
      <w:r>
        <w:t>Рисунок 1 - План исследования однородности между экземплярами [22]</w:t>
      </w:r>
    </w:p>
    <w:p w:rsidR="00000000" w:rsidRDefault="005829C2">
      <w:pPr>
        <w:pStyle w:val="FORMATTEXT"/>
        <w:jc w:val="center"/>
      </w:pPr>
    </w:p>
    <w:p w:rsidR="00000000" w:rsidRDefault="00862BD0">
      <w:pPr>
        <w:pStyle w:val="TOPLEVELTEXT"/>
        <w:jc w:val="center"/>
      </w:pPr>
      <w:r>
        <w:rPr>
          <w:noProof/>
          <w:position w:val="-82"/>
        </w:rPr>
        <w:drawing>
          <wp:inline distT="0" distB="0" distL="0" distR="0">
            <wp:extent cx="2924175" cy="2105025"/>
            <wp:effectExtent l="0" t="0" r="9525" b="9525"/>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924175" cy="2105025"/>
                    </a:xfrm>
                    <a:prstGeom prst="rect">
                      <a:avLst/>
                    </a:prstGeom>
                    <a:noFill/>
                    <a:ln>
                      <a:noFill/>
                    </a:ln>
                  </pic:spPr>
                </pic:pic>
              </a:graphicData>
            </a:graphic>
          </wp:inline>
        </w:drawing>
      </w:r>
    </w:p>
    <w:p w:rsidR="00000000" w:rsidRDefault="005829C2">
      <w:pPr>
        <w:pStyle w:val="FORMATTEXT"/>
        <w:jc w:val="center"/>
      </w:pPr>
    </w:p>
    <w:p w:rsidR="00000000" w:rsidRDefault="005829C2">
      <w:pPr>
        <w:pStyle w:val="FORMATTEXT"/>
        <w:jc w:val="center"/>
      </w:pPr>
      <w:r>
        <w:t xml:space="preserve">Рисунок 2 - Альтернативный план исследования однородности между экземплярами [22] </w:t>
      </w:r>
    </w:p>
    <w:p w:rsidR="00000000" w:rsidRDefault="005829C2">
      <w:pPr>
        <w:pStyle w:val="FORMATTEXT"/>
        <w:ind w:firstLine="568"/>
        <w:jc w:val="both"/>
      </w:pPr>
      <w:r>
        <w:t>На рисунке 2 показан план эксперимента для случая</w:t>
      </w:r>
      <w:r>
        <w:t>, когда произвести отбор проб выборки экземпляров (</w:t>
      </w:r>
      <w:proofErr w:type="spellStart"/>
      <w:r>
        <w:t>подвыборки</w:t>
      </w:r>
      <w:proofErr w:type="spellEnd"/>
      <w:r>
        <w:t>) невозможно или это просто не сделано, например, по экономическим причинам. При этом плане эксперимента влияние однородности между экземплярами включено в дисперсию "между группами", равно как и</w:t>
      </w:r>
      <w:r>
        <w:t xml:space="preserve"> другие влияния, возникающие из преобразования пробы. Дисперсия "внутри групп" охватывает только повторяемость измерений. На пробах для испытаний или "одноразовых" образцах часто можно провести только одно испытание, поэтому в этом случае </w:t>
      </w:r>
      <w:r>
        <w:rPr>
          <w:i/>
          <w:iCs/>
        </w:rPr>
        <w:t>n</w:t>
      </w:r>
      <w:r>
        <w:t xml:space="preserve"> - число повторн</w:t>
      </w:r>
      <w:r>
        <w:t xml:space="preserve">ых измерений, равно 1. В этих случаях нет необходимости учитывать влияния неоднородности внутри экземпляров. В тех случаях, когда проба позволяет выполнить многочисленные измерения после преобразования, </w:t>
      </w:r>
      <w:r>
        <w:rPr>
          <w:i/>
          <w:iCs/>
        </w:rPr>
        <w:t>n</w:t>
      </w:r>
      <w:r>
        <w:t xml:space="preserve">, как правило, будет больше. В тех случаях, когда </w:t>
      </w:r>
      <w:r>
        <w:rPr>
          <w:i/>
          <w:iCs/>
        </w:rPr>
        <w:t>n</w:t>
      </w:r>
      <w:r>
        <w:t>&gt;</w:t>
      </w:r>
      <w:r>
        <w:t>1, данные можно обработать с помощью дисперсионного анализа (см. приложения А.1 и Б.2).</w:t>
      </w:r>
    </w:p>
    <w:p w:rsidR="00000000" w:rsidRDefault="005829C2">
      <w:pPr>
        <w:pStyle w:val="FORMATTEXT"/>
        <w:ind w:firstLine="568"/>
        <w:jc w:val="both"/>
      </w:pPr>
    </w:p>
    <w:p w:rsidR="00000000" w:rsidRDefault="005829C2">
      <w:pPr>
        <w:pStyle w:val="FORMATTEXT"/>
        <w:ind w:firstLine="568"/>
        <w:jc w:val="both"/>
      </w:pPr>
      <w:r>
        <w:t xml:space="preserve">Если используется однофакторный дисперсионный анализ, тогда </w:t>
      </w:r>
      <w:r>
        <w:rPr>
          <w:i/>
          <w:iCs/>
        </w:rPr>
        <w:t>s</w:t>
      </w:r>
      <w:r w:rsidR="00862BD0">
        <w:rPr>
          <w:noProof/>
          <w:position w:val="-10"/>
        </w:rPr>
        <w:drawing>
          <wp:inline distT="0" distB="0" distL="0" distR="0">
            <wp:extent cx="161925" cy="228600"/>
            <wp:effectExtent l="0" t="0" r="9525"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в обоих случаях можно рассчитать по формуле:</w:t>
      </w:r>
    </w:p>
    <w:p w:rsidR="00000000" w:rsidRDefault="005829C2">
      <w:pPr>
        <w:pStyle w:val="FORMATTEXT"/>
        <w:ind w:firstLine="568"/>
        <w:jc w:val="both"/>
      </w:pPr>
    </w:p>
    <w:p w:rsidR="00000000" w:rsidRDefault="00862BD0">
      <w:pPr>
        <w:pStyle w:val="FORMATTEXT"/>
        <w:jc w:val="right"/>
      </w:pPr>
      <w:r>
        <w:rPr>
          <w:noProof/>
          <w:position w:val="-19"/>
        </w:rPr>
        <w:drawing>
          <wp:inline distT="0" distB="0" distL="0" distR="0">
            <wp:extent cx="1914525" cy="457200"/>
            <wp:effectExtent l="0" t="0" r="9525"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914525" cy="457200"/>
                    </a:xfrm>
                    <a:prstGeom prst="rect">
                      <a:avLst/>
                    </a:prstGeom>
                    <a:noFill/>
                    <a:ln>
                      <a:noFill/>
                    </a:ln>
                  </pic:spPr>
                </pic:pic>
              </a:graphicData>
            </a:graphic>
          </wp:inline>
        </w:drawing>
      </w:r>
      <w:r w:rsidR="005829C2">
        <w:t>.                                                  (4)</w:t>
      </w:r>
    </w:p>
    <w:p w:rsidR="00000000" w:rsidRDefault="005829C2">
      <w:pPr>
        <w:pStyle w:val="FORMATTEXT"/>
        <w:ind w:firstLine="568"/>
        <w:jc w:val="both"/>
      </w:pPr>
      <w:r>
        <w:t xml:space="preserve">В этих случаях дисперсия между экземплярами </w:t>
      </w:r>
      <w:r>
        <w:rPr>
          <w:i/>
          <w:iCs/>
        </w:rPr>
        <w:t>s</w:t>
      </w:r>
      <w:r w:rsidR="00862BD0">
        <w:rPr>
          <w:noProof/>
          <w:position w:val="-11"/>
        </w:rPr>
        <w:drawing>
          <wp:inline distT="0" distB="0" distL="0" distR="0">
            <wp:extent cx="161925" cy="266700"/>
            <wp:effectExtent l="0" t="0" r="9525"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61925" cy="266700"/>
                    </a:xfrm>
                    <a:prstGeom prst="rect">
                      <a:avLst/>
                    </a:prstGeom>
                    <a:noFill/>
                    <a:ln>
                      <a:noFill/>
                    </a:ln>
                  </pic:spPr>
                </pic:pic>
              </a:graphicData>
            </a:graphic>
          </wp:inline>
        </w:drawing>
      </w:r>
      <w:r>
        <w:t xml:space="preserve"> идентична </w:t>
      </w:r>
      <w:r>
        <w:rPr>
          <w:i/>
          <w:iCs/>
        </w:rPr>
        <w:t>и</w:t>
      </w:r>
      <w:r w:rsidR="00862BD0">
        <w:rPr>
          <w:noProof/>
          <w:position w:val="-11"/>
        </w:rPr>
        <w:drawing>
          <wp:inline distT="0" distB="0" distL="0" distR="0">
            <wp:extent cx="161925" cy="266700"/>
            <wp:effectExtent l="0" t="0" r="9525"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61925" cy="266700"/>
                    </a:xfrm>
                    <a:prstGeom prst="rect">
                      <a:avLst/>
                    </a:prstGeom>
                    <a:noFill/>
                    <a:ln>
                      <a:noFill/>
                    </a:ln>
                  </pic:spPr>
                </pic:pic>
              </a:graphicData>
            </a:graphic>
          </wp:inline>
        </w:drawing>
      </w:r>
      <w:r>
        <w:t>.</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7.9 Недостаточная повторяемость метода измерений </w:t>
      </w:r>
    </w:p>
    <w:p w:rsidR="00000000" w:rsidRDefault="005829C2">
      <w:pPr>
        <w:pStyle w:val="FORMATTEXT"/>
        <w:ind w:firstLine="568"/>
        <w:jc w:val="both"/>
      </w:pPr>
      <w:r>
        <w:t>Н</w:t>
      </w:r>
      <w:r>
        <w:t xml:space="preserve">е всегда целесообразно проводить исследование однородности, используя метод измерений с достаточной повторяемостью. В этих случаях может потребоваться альтернативный подход, позволяющий максимально оценить возможные влияния. Если </w:t>
      </w:r>
      <w:r>
        <w:rPr>
          <w:i/>
          <w:iCs/>
        </w:rPr>
        <w:t>u</w:t>
      </w:r>
      <w:r w:rsidR="00862BD0">
        <w:rPr>
          <w:noProof/>
          <w:position w:val="-10"/>
        </w:rPr>
        <w:drawing>
          <wp:inline distT="0" distB="0" distL="0" distR="0">
            <wp:extent cx="161925" cy="228600"/>
            <wp:effectExtent l="0" t="0" r="9525"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обозначает составляющую неопределенности от неоднородности партии, включаемую в модель сертификации (аттестации), то следует отметить, что</w:t>
      </w:r>
    </w:p>
    <w:p w:rsidR="00000000" w:rsidRDefault="005829C2">
      <w:pPr>
        <w:pStyle w:val="FORMATTEXT"/>
        <w:ind w:firstLine="568"/>
        <w:jc w:val="both"/>
      </w:pPr>
    </w:p>
    <w:p w:rsidR="00000000" w:rsidRDefault="00862BD0">
      <w:pPr>
        <w:pStyle w:val="FORMATTEXT"/>
        <w:jc w:val="right"/>
      </w:pPr>
      <w:r>
        <w:rPr>
          <w:noProof/>
          <w:position w:val="-19"/>
        </w:rPr>
        <w:drawing>
          <wp:inline distT="0" distB="0" distL="0" distR="0">
            <wp:extent cx="2314575" cy="466725"/>
            <wp:effectExtent l="0" t="0" r="9525" b="9525"/>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314575" cy="466725"/>
                    </a:xfrm>
                    <a:prstGeom prst="rect">
                      <a:avLst/>
                    </a:prstGeom>
                    <a:noFill/>
                    <a:ln>
                      <a:noFill/>
                    </a:ln>
                  </pic:spPr>
                </pic:pic>
              </a:graphicData>
            </a:graphic>
          </wp:inline>
        </w:drawing>
      </w:r>
      <w:r w:rsidR="005829C2">
        <w:t xml:space="preserve">.                                           (5) </w:t>
      </w:r>
    </w:p>
    <w:p w:rsidR="00000000" w:rsidRDefault="005829C2">
      <w:pPr>
        <w:pStyle w:val="FORMATTEXT"/>
        <w:ind w:firstLine="568"/>
        <w:jc w:val="both"/>
      </w:pPr>
      <w:r>
        <w:t>Дисперсия повторяемо</w:t>
      </w:r>
      <w:r>
        <w:t xml:space="preserve">сти может быть получена отдельно или принята равной </w:t>
      </w:r>
      <w:r>
        <w:rPr>
          <w:i/>
          <w:iCs/>
        </w:rPr>
        <w:t>MS</w:t>
      </w:r>
      <w:r w:rsidR="00862BD0">
        <w:rPr>
          <w:noProof/>
          <w:position w:val="-10"/>
        </w:rPr>
        <w:drawing>
          <wp:inline distT="0" distB="0" distL="0" distR="0">
            <wp:extent cx="342900" cy="228600"/>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42900" cy="228600"/>
                    </a:xfrm>
                    <a:prstGeom prst="rect">
                      <a:avLst/>
                    </a:prstGeom>
                    <a:noFill/>
                    <a:ln>
                      <a:noFill/>
                    </a:ln>
                  </pic:spPr>
                </pic:pic>
              </a:graphicData>
            </a:graphic>
          </wp:inline>
        </w:drawing>
      </w:r>
      <w:r>
        <w:t>. Правая сторона этого выражения представляет собой квадратичную стандартную неопределенность, связанную с результатом для одного экземпляра. Левая сторона представляе</w:t>
      </w:r>
      <w:r>
        <w:t>т "чистое" влияние неопределенности между экземплярами, установленное в результате дисперсионного анализа.</w:t>
      </w:r>
    </w:p>
    <w:p w:rsidR="00000000" w:rsidRDefault="005829C2">
      <w:pPr>
        <w:pStyle w:val="FORMATTEXT"/>
        <w:ind w:firstLine="568"/>
        <w:jc w:val="both"/>
      </w:pPr>
    </w:p>
    <w:p w:rsidR="00000000" w:rsidRDefault="005829C2">
      <w:pPr>
        <w:pStyle w:val="FORMATTEXT"/>
        <w:ind w:firstLine="568"/>
        <w:jc w:val="both"/>
      </w:pPr>
      <w:r>
        <w:t>Различные подходы получения оценки неопределенности, учитывающей недостаточную повторяемость метода измерений помимо результата уравнения (4), рассм</w:t>
      </w:r>
      <w:r>
        <w:t xml:space="preserve">отрены в [19]. Влияние стандартного отклонения повторяемости на </w:t>
      </w:r>
      <w:r>
        <w:rPr>
          <w:i/>
          <w:iCs/>
        </w:rPr>
        <w:t>s</w:t>
      </w:r>
      <w:r w:rsidR="00862BD0">
        <w:rPr>
          <w:noProof/>
          <w:position w:val="-10"/>
        </w:rPr>
        <w:drawing>
          <wp:inline distT="0" distB="0" distL="0" distR="0">
            <wp:extent cx="161925" cy="228600"/>
            <wp:effectExtent l="0" t="0" r="9525"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можно учесть, используя:</w:t>
      </w:r>
    </w:p>
    <w:p w:rsidR="00000000" w:rsidRDefault="005829C2">
      <w:pPr>
        <w:pStyle w:val="FORMATTEXT"/>
        <w:ind w:firstLine="568"/>
        <w:jc w:val="both"/>
      </w:pPr>
    </w:p>
    <w:p w:rsidR="00000000" w:rsidRDefault="00862BD0">
      <w:pPr>
        <w:pStyle w:val="FORMATTEXT"/>
        <w:jc w:val="right"/>
      </w:pPr>
      <w:r>
        <w:rPr>
          <w:noProof/>
          <w:position w:val="-20"/>
        </w:rPr>
        <w:drawing>
          <wp:inline distT="0" distB="0" distL="0" distR="0">
            <wp:extent cx="1714500" cy="504825"/>
            <wp:effectExtent l="0" t="0" r="0" b="9525"/>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714500" cy="504825"/>
                    </a:xfrm>
                    <a:prstGeom prst="rect">
                      <a:avLst/>
                    </a:prstGeom>
                    <a:noFill/>
                    <a:ln>
                      <a:noFill/>
                    </a:ln>
                  </pic:spPr>
                </pic:pic>
              </a:graphicData>
            </a:graphic>
          </wp:inline>
        </w:drawing>
      </w:r>
      <w:r w:rsidR="005829C2">
        <w:t xml:space="preserve">,                                                    (6) </w:t>
      </w:r>
    </w:p>
    <w:p w:rsidR="00000000" w:rsidRDefault="005829C2">
      <w:pPr>
        <w:pStyle w:val="FORMATTEXT"/>
        <w:jc w:val="both"/>
      </w:pPr>
    </w:p>
    <w:p w:rsidR="00000000" w:rsidRDefault="005829C2">
      <w:pPr>
        <w:pStyle w:val="FORMATTEXT"/>
        <w:jc w:val="both"/>
      </w:pPr>
    </w:p>
    <w:p w:rsidR="00000000" w:rsidRDefault="005829C2">
      <w:pPr>
        <w:pStyle w:val="FORMATTEXT"/>
        <w:jc w:val="both"/>
      </w:pPr>
      <w:r>
        <w:t xml:space="preserve">где </w:t>
      </w:r>
      <w:r>
        <w:rPr>
          <w:i/>
          <w:iCs/>
        </w:rPr>
        <w:t>MS</w:t>
      </w:r>
      <w:r w:rsidR="00862BD0">
        <w:rPr>
          <w:noProof/>
          <w:position w:val="-10"/>
        </w:rPr>
        <w:drawing>
          <wp:inline distT="0" distB="0" distL="0" distR="0">
            <wp:extent cx="342900" cy="228600"/>
            <wp:effectExtent l="0" t="0" r="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42900" cy="228600"/>
                    </a:xfrm>
                    <a:prstGeom prst="rect">
                      <a:avLst/>
                    </a:prstGeom>
                    <a:noFill/>
                    <a:ln>
                      <a:noFill/>
                    </a:ln>
                  </pic:spPr>
                </pic:pic>
              </a:graphicData>
            </a:graphic>
          </wp:inline>
        </w:drawing>
      </w:r>
      <w:r>
        <w:t xml:space="preserve"> равно дисперсии повторяемости измерений, выполненных при исследовании однородности между экземплярами. </w:t>
      </w:r>
    </w:p>
    <w:p w:rsidR="00000000" w:rsidRDefault="005829C2">
      <w:pPr>
        <w:pStyle w:val="FORMATTEXT"/>
        <w:ind w:firstLine="568"/>
        <w:jc w:val="both"/>
      </w:pPr>
      <w:r>
        <w:t xml:space="preserve">Это выражение основано на соображении, что для </w:t>
      </w:r>
      <w:r>
        <w:rPr>
          <w:i/>
          <w:iCs/>
        </w:rPr>
        <w:t>s</w:t>
      </w:r>
      <w:r w:rsidR="00862BD0">
        <w:rPr>
          <w:noProof/>
          <w:position w:val="-10"/>
        </w:rPr>
        <w:drawing>
          <wp:inline distT="0" distB="0" distL="0" distR="0">
            <wp:extent cx="161925" cy="228600"/>
            <wp:effectExtent l="0" t="0" r="9525"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можно установить доверительный интервал и что полуширина 9</w:t>
      </w:r>
      <w:r>
        <w:t xml:space="preserve">5% доверительного интервала, преобразованная в стандартную неопределенность, может рассматриваться как степень влияния повторяемости метода на оценку </w:t>
      </w:r>
      <w:r>
        <w:rPr>
          <w:i/>
          <w:iCs/>
        </w:rPr>
        <w:t>s</w:t>
      </w:r>
      <w:r w:rsidR="00862BD0">
        <w:rPr>
          <w:noProof/>
          <w:position w:val="-10"/>
        </w:rPr>
        <w:drawing>
          <wp:inline distT="0" distB="0" distL="0" distR="0">
            <wp:extent cx="161925" cy="228600"/>
            <wp:effectExtent l="0" t="0" r="9525"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Pr>
          <w:i/>
          <w:iCs/>
        </w:rPr>
        <w:t>.</w:t>
      </w:r>
      <w:r>
        <w:t xml:space="preserve"> Это выражение является примером того, как можно учесть неоднороднос</w:t>
      </w:r>
      <w:r>
        <w:t>ть в случае невозможности ее выявить. Можно разработать альтернативные варианты, но они должны отвечать критериям, приведенным в уравнении (5).</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7.10 </w:t>
      </w:r>
      <w:proofErr w:type="spellStart"/>
      <w:r>
        <w:rPr>
          <w:b/>
          <w:bCs/>
          <w:color w:val="000001"/>
        </w:rPr>
        <w:t>Внутриэкземплярная</w:t>
      </w:r>
      <w:proofErr w:type="spellEnd"/>
      <w:r>
        <w:rPr>
          <w:b/>
          <w:bCs/>
          <w:color w:val="000001"/>
        </w:rPr>
        <w:t xml:space="preserve"> однородность </w:t>
      </w:r>
    </w:p>
    <w:p w:rsidR="00000000" w:rsidRDefault="005829C2">
      <w:pPr>
        <w:pStyle w:val="FORMATTEXT"/>
        <w:ind w:firstLine="568"/>
        <w:jc w:val="both"/>
      </w:pPr>
      <w:r>
        <w:t xml:space="preserve">Однородность внутри экземпляра - это вопрос, возникающий только в </w:t>
      </w:r>
      <w:r>
        <w:t xml:space="preserve">тех случаях, когда </w:t>
      </w:r>
      <w:r>
        <w:lastRenderedPageBreak/>
        <w:t>экземпляры исходного материала СО можно разделить на выборочные пробы. Во многих случаях невозможно получить точную оценку дисперсии от неоднородности внутри экземпляра. В оценивании однородности внутри экземпляра будет всегда до определ</w:t>
      </w:r>
      <w:r>
        <w:t xml:space="preserve">енной степени содержаться повторяемость метода испытания. Это всегда делает оценку </w:t>
      </w:r>
      <w:r>
        <w:rPr>
          <w:i/>
          <w:iCs/>
        </w:rPr>
        <w:t>s</w:t>
      </w:r>
      <w:r w:rsidR="00862BD0">
        <w:rPr>
          <w:noProof/>
          <w:position w:val="-10"/>
        </w:rPr>
        <w:drawing>
          <wp:inline distT="0" distB="0" distL="0" distR="0">
            <wp:extent cx="190500" cy="228600"/>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t xml:space="preserve"> "с запасом", т.е. больше, чем реальная неопределенность. На рисунке 3 показан план исследования однородности внутри экземпляра.</w:t>
      </w:r>
    </w:p>
    <w:p w:rsidR="00000000" w:rsidRDefault="005829C2">
      <w:pPr>
        <w:pStyle w:val="FORMATTEXT"/>
        <w:ind w:firstLine="568"/>
        <w:jc w:val="both"/>
      </w:pPr>
    </w:p>
    <w:p w:rsidR="00000000" w:rsidRDefault="005829C2">
      <w:pPr>
        <w:pStyle w:val="FORMATTEXT"/>
        <w:ind w:firstLine="568"/>
        <w:jc w:val="both"/>
      </w:pPr>
      <w:r>
        <w:t>Из экзе</w:t>
      </w:r>
      <w:r>
        <w:t>мпляра берутся многочисленные навески, которые обычно можно преобразовать только один раз (см. рисунок 3). Существуют известные исключения, как, например, рентгеновская флуоресценция, где возможны многочисленные измерения одной и той же навески. В этих слу</w:t>
      </w:r>
      <w:r>
        <w:t xml:space="preserve">чаях можно рассмотреть подход с использованием однофакторного ANOVA, как в случае с однородностью между экземплярами (см. приложение А.1). Соответствующим стандартным отклонением будет стандартное отклонение между группами, где группа представляет </w:t>
      </w:r>
      <w:proofErr w:type="spellStart"/>
      <w:r>
        <w:t>подпробу</w:t>
      </w:r>
      <w:proofErr w:type="spellEnd"/>
      <w:r>
        <w:t>.</w:t>
      </w:r>
    </w:p>
    <w:p w:rsidR="00000000" w:rsidRDefault="005829C2">
      <w:pPr>
        <w:pStyle w:val="FORMATTEXT"/>
        <w:ind w:firstLine="568"/>
        <w:jc w:val="both"/>
      </w:pPr>
    </w:p>
    <w:p w:rsidR="00000000" w:rsidRDefault="005829C2">
      <w:pPr>
        <w:pStyle w:val="FORMATTEXT"/>
        <w:ind w:firstLine="568"/>
        <w:jc w:val="both"/>
      </w:pPr>
      <w:r>
        <w:t xml:space="preserve">Минимальный размер пробы определяется путем проведения исследования однородности внутри экземпляра на различных навесках. </w:t>
      </w:r>
      <w:proofErr w:type="gramStart"/>
      <w:r>
        <w:t>В связи с тем что</w:t>
      </w:r>
      <w:proofErr w:type="gramEnd"/>
      <w:r>
        <w:t xml:space="preserve"> стандартное отклонение однородности внутри экземпляра зависит от числа частиц, несущих определенное свойство, мож</w:t>
      </w:r>
      <w:r>
        <w:t>но определить минимальное число частиц (или минимальную навеску). Этот минимум представляет собой наименьший размер пробы, для которой стандартное отклонение навески равно стандартному отклонению повторяемости метода измерений.</w:t>
      </w:r>
    </w:p>
    <w:p w:rsidR="00000000" w:rsidRDefault="005829C2">
      <w:pPr>
        <w:pStyle w:val="FORMATTEXT"/>
        <w:ind w:firstLine="568"/>
        <w:jc w:val="both"/>
      </w:pPr>
    </w:p>
    <w:p w:rsidR="00000000" w:rsidRDefault="00862BD0">
      <w:pPr>
        <w:pStyle w:val="TOPLEVELTEXT"/>
        <w:jc w:val="center"/>
      </w:pPr>
      <w:r>
        <w:rPr>
          <w:noProof/>
          <w:position w:val="-143"/>
        </w:rPr>
        <w:drawing>
          <wp:inline distT="0" distB="0" distL="0" distR="0">
            <wp:extent cx="5600700" cy="3648075"/>
            <wp:effectExtent l="0" t="0" r="0" b="9525"/>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600700" cy="3648075"/>
                    </a:xfrm>
                    <a:prstGeom prst="rect">
                      <a:avLst/>
                    </a:prstGeom>
                    <a:noFill/>
                    <a:ln>
                      <a:noFill/>
                    </a:ln>
                  </pic:spPr>
                </pic:pic>
              </a:graphicData>
            </a:graphic>
          </wp:inline>
        </w:drawing>
      </w:r>
    </w:p>
    <w:p w:rsidR="00000000" w:rsidRDefault="005829C2">
      <w:pPr>
        <w:pStyle w:val="FORMATTEXT"/>
        <w:jc w:val="center"/>
      </w:pPr>
    </w:p>
    <w:p w:rsidR="00000000" w:rsidRDefault="005829C2">
      <w:pPr>
        <w:pStyle w:val="FORMATTEXT"/>
        <w:jc w:val="center"/>
      </w:pPr>
      <w:r>
        <w:t xml:space="preserve">Рисунок 3 - Альтернативный план исследования однородности внутри экземпляра [22] </w:t>
      </w:r>
    </w:p>
    <w:p w:rsidR="00000000" w:rsidRDefault="005829C2">
      <w:pPr>
        <w:pStyle w:val="FORMATTEXT"/>
        <w:ind w:firstLine="568"/>
        <w:jc w:val="both"/>
      </w:pPr>
      <w:r>
        <w:t>Минимальный размер пробы можно определить экспериментально или через экстраполяцию. Экстраполяцию стандартных отклонений внутри экземпляра, полученную из различных</w:t>
      </w:r>
      <w:r>
        <w:t xml:space="preserve"> размеров навесок, можно использовать для нахождения размера наименьшей пробы, не влияющего на повторяемость измерений для этого конкретного параметра. </w:t>
      </w:r>
      <w:proofErr w:type="gramStart"/>
      <w:r>
        <w:t>В связи с тем что</w:t>
      </w:r>
      <w:proofErr w:type="gramEnd"/>
      <w:r>
        <w:t xml:space="preserve"> стандартное отклонение однородности внутри экземпляра обычно является завышенной оценк</w:t>
      </w:r>
      <w:r>
        <w:t>ой, минимальный размер пробы, как правило, также будет завышенной оценкой.</w:t>
      </w:r>
    </w:p>
    <w:p w:rsidR="00000000" w:rsidRDefault="005829C2">
      <w:pPr>
        <w:pStyle w:val="FORMATTEXT"/>
        <w:ind w:firstLine="568"/>
        <w:jc w:val="both"/>
      </w:pPr>
    </w:p>
    <w:p w:rsidR="00000000" w:rsidRDefault="005829C2">
      <w:pPr>
        <w:pStyle w:val="FORMATTEXT"/>
        <w:ind w:firstLine="568"/>
        <w:jc w:val="both"/>
      </w:pPr>
      <w:r>
        <w:t>Еще один подход к этой проблеме заключается в том, чтобы продемонстрировать на конкретном размере пробы, что стандартное отклонение между навесками равно стандартному отклонению по</w:t>
      </w:r>
      <w:r>
        <w:t xml:space="preserve">вторяемости метода измерений. Такая оценка может быть проведена путем сравнения дисперсий с </w:t>
      </w:r>
      <w:r w:rsidR="00862BD0">
        <w:rPr>
          <w:noProof/>
          <w:position w:val="-11"/>
        </w:rPr>
        <w:drawing>
          <wp:inline distT="0" distB="0" distL="0" distR="0">
            <wp:extent cx="200025" cy="257175"/>
            <wp:effectExtent l="0" t="0" r="9525" b="9525"/>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r>
        <w:t xml:space="preserve">критерием (более подробные сведения см. в ISO </w:t>
      </w:r>
      <w:proofErr w:type="spellStart"/>
      <w:r>
        <w:t>Guide</w:t>
      </w:r>
      <w:proofErr w:type="spellEnd"/>
      <w:r>
        <w:t xml:space="preserve"> 33 [9]). Размер пробы, использованной в таком эксперименте, может считаться м</w:t>
      </w:r>
      <w:r>
        <w:t>инимальной пробой.</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8 Исследование стабильности</w:t>
      </w:r>
    </w:p>
    <w:p w:rsidR="00000000" w:rsidRDefault="005829C2">
      <w:pPr>
        <w:pStyle w:val="HEADERTEXT"/>
        <w:rPr>
          <w:b/>
          <w:bCs/>
          <w:color w:val="000001"/>
        </w:rPr>
      </w:pPr>
    </w:p>
    <w:p w:rsidR="00000000" w:rsidRDefault="005829C2">
      <w:pPr>
        <w:pStyle w:val="HEADERTEXT"/>
        <w:jc w:val="both"/>
        <w:rPr>
          <w:b/>
          <w:bCs/>
          <w:color w:val="000001"/>
        </w:rPr>
      </w:pPr>
      <w:r>
        <w:rPr>
          <w:b/>
          <w:bCs/>
          <w:color w:val="000001"/>
        </w:rPr>
        <w:lastRenderedPageBreak/>
        <w:t xml:space="preserve">      8.1 Типы стабильности </w:t>
      </w:r>
    </w:p>
    <w:p w:rsidR="00000000" w:rsidRDefault="005829C2">
      <w:pPr>
        <w:pStyle w:val="FORMATTEXT"/>
        <w:ind w:firstLine="568"/>
        <w:jc w:val="both"/>
      </w:pPr>
      <w:r>
        <w:t>Существуют два типа стабильности, которые следует рассмотреть при сертификации (аттестации) СО:</w:t>
      </w:r>
    </w:p>
    <w:p w:rsidR="00000000" w:rsidRDefault="005829C2">
      <w:pPr>
        <w:pStyle w:val="FORMATTEXT"/>
        <w:ind w:firstLine="568"/>
        <w:jc w:val="both"/>
      </w:pPr>
    </w:p>
    <w:p w:rsidR="00000000" w:rsidRDefault="005829C2">
      <w:pPr>
        <w:pStyle w:val="FORMATTEXT"/>
        <w:ind w:firstLine="568"/>
        <w:jc w:val="both"/>
      </w:pPr>
      <w:r>
        <w:t>- долговременная стабильность материала (например, срок годности);</w:t>
      </w:r>
    </w:p>
    <w:p w:rsidR="00000000" w:rsidRDefault="005829C2">
      <w:pPr>
        <w:pStyle w:val="FORMATTEXT"/>
        <w:ind w:firstLine="568"/>
        <w:jc w:val="both"/>
      </w:pPr>
    </w:p>
    <w:p w:rsidR="00000000" w:rsidRDefault="005829C2">
      <w:pPr>
        <w:pStyle w:val="FORMATTEXT"/>
        <w:ind w:firstLine="568"/>
        <w:jc w:val="both"/>
      </w:pPr>
      <w:r>
        <w:t>- крат</w:t>
      </w:r>
      <w:r>
        <w:t>ковременная стабильность (например, стабильность материала в "условиях транспортирования").</w:t>
      </w:r>
    </w:p>
    <w:p w:rsidR="00000000" w:rsidRDefault="005829C2">
      <w:pPr>
        <w:pStyle w:val="FORMATTEXT"/>
        <w:ind w:firstLine="568"/>
        <w:jc w:val="both"/>
      </w:pPr>
    </w:p>
    <w:p w:rsidR="00000000" w:rsidRDefault="005829C2">
      <w:pPr>
        <w:pStyle w:val="FORMATTEXT"/>
        <w:ind w:firstLine="568"/>
        <w:jc w:val="both"/>
      </w:pPr>
      <w:r>
        <w:t>Долговременная стабильность СО связана с его поведением на полках изготовителя. Кратковременная стабильность связана с любыми дополнительными влияниями при транспо</w:t>
      </w:r>
      <w:r>
        <w:t>ртировании образцов. В некоторых случаях невозможно поддерживать подходящие условия сохранения стабильности СО во время транспортирования, и в этом случае следует сделать поправку на дополнительную неопределенность значений параметров.</w:t>
      </w:r>
    </w:p>
    <w:p w:rsidR="00000000" w:rsidRDefault="005829C2">
      <w:pPr>
        <w:pStyle w:val="FORMATTEXT"/>
        <w:ind w:firstLine="568"/>
        <w:jc w:val="both"/>
      </w:pPr>
    </w:p>
    <w:p w:rsidR="00000000" w:rsidRDefault="005829C2">
      <w:pPr>
        <w:pStyle w:val="FORMATTEXT"/>
        <w:ind w:firstLine="568"/>
        <w:jc w:val="both"/>
      </w:pPr>
      <w:r>
        <w:t>Для обеспечения дос</w:t>
      </w:r>
      <w:r>
        <w:t>товерности неопределенности, указываемой в сертификате (паспорте) ССО (АСО), правильная оценка влияний вследствие как долговременной, так и кратковременной стабильности так же важна, как и правильная оценка однородности партии (см. раздел 7). В течение сро</w:t>
      </w:r>
      <w:r>
        <w:t>ка годности ССО (АСО) достоверность неопределенности должна быть демонстрируема для того, чтобы ССО (АСО) мог отвечать требованиям стабильности.</w:t>
      </w:r>
    </w:p>
    <w:p w:rsidR="00000000" w:rsidRDefault="005829C2">
      <w:pPr>
        <w:pStyle w:val="FORMATTEXT"/>
        <w:ind w:firstLine="568"/>
        <w:jc w:val="both"/>
      </w:pPr>
    </w:p>
    <w:p w:rsidR="00000000" w:rsidRDefault="005829C2">
      <w:pPr>
        <w:pStyle w:val="FORMATTEXT"/>
        <w:ind w:firstLine="568"/>
        <w:jc w:val="both"/>
      </w:pPr>
      <w:r>
        <w:t>Помимо этого, также важно знать, что может случиться с образцом при несоблюдении необходимых условий транспорт</w:t>
      </w:r>
      <w:r>
        <w:t>ирования. Во многих случаях может быть достаточно простой верификации ССО (АСО) перед его первым использованием для повторного подтверждения действительности сертификата (паспорта), в то время как в других случаях, очевидно, что ССО (АСО) стал негодным. Эт</w:t>
      </w:r>
      <w:r>
        <w:t xml:space="preserve">о знание позволяет изготовителю дать лучшие рекомендации, а пользователю - получить лучший образец. Поэтому исследования стабильности выполняют не только для оценки неопределенности измерений, связанной со стабильностью материала, но также для обеспечения </w:t>
      </w:r>
      <w:r>
        <w:t>надлежащих условий хранения и транспортирования (см. также 5.9).</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8.2 Планы экспериментов </w:t>
      </w:r>
    </w:p>
    <w:p w:rsidR="00000000" w:rsidRDefault="005829C2">
      <w:pPr>
        <w:pStyle w:val="FORMATTEXT"/>
        <w:ind w:firstLine="568"/>
        <w:jc w:val="both"/>
      </w:pPr>
      <w:r>
        <w:t>Существуют два основных плана эксперимента для проведения исследований стабильности [13], [23]:</w:t>
      </w:r>
    </w:p>
    <w:p w:rsidR="00000000" w:rsidRDefault="005829C2">
      <w:pPr>
        <w:pStyle w:val="FORMATTEXT"/>
        <w:ind w:firstLine="568"/>
        <w:jc w:val="both"/>
      </w:pPr>
    </w:p>
    <w:p w:rsidR="00000000" w:rsidRDefault="005829C2">
      <w:pPr>
        <w:pStyle w:val="FORMATTEXT"/>
        <w:ind w:firstLine="568"/>
        <w:jc w:val="both"/>
      </w:pPr>
      <w:r>
        <w:t>- классическое исследование стабильности;</w:t>
      </w:r>
    </w:p>
    <w:p w:rsidR="00000000" w:rsidRDefault="005829C2">
      <w:pPr>
        <w:pStyle w:val="FORMATTEXT"/>
        <w:ind w:firstLine="568"/>
        <w:jc w:val="both"/>
      </w:pPr>
    </w:p>
    <w:p w:rsidR="00000000" w:rsidRDefault="005829C2">
      <w:pPr>
        <w:pStyle w:val="FORMATTEXT"/>
        <w:ind w:firstLine="568"/>
        <w:jc w:val="both"/>
      </w:pPr>
      <w:r>
        <w:t>- изохронное иссле</w:t>
      </w:r>
      <w:r>
        <w:t>дование стабильности.</w:t>
      </w:r>
    </w:p>
    <w:p w:rsidR="00000000" w:rsidRDefault="005829C2">
      <w:pPr>
        <w:pStyle w:val="FORMATTEXT"/>
        <w:ind w:firstLine="568"/>
        <w:jc w:val="both"/>
      </w:pPr>
    </w:p>
    <w:p w:rsidR="00000000" w:rsidRDefault="005829C2">
      <w:pPr>
        <w:pStyle w:val="FORMATTEXT"/>
        <w:ind w:firstLine="568"/>
        <w:jc w:val="both"/>
      </w:pPr>
      <w:r>
        <w:t>При классическом исследовании стабильности отдельные пробы, изготовленные в одно и то же время (т.е. в виде партии), при одинаковых условиях измеряют через определенные промежутки времени. В этом случае работу проводят в условиях (</w:t>
      </w:r>
      <w:proofErr w:type="spellStart"/>
      <w:r>
        <w:t>вн</w:t>
      </w:r>
      <w:r>
        <w:t>утрилабораторной</w:t>
      </w:r>
      <w:proofErr w:type="spellEnd"/>
      <w:r>
        <w:t xml:space="preserve">) </w:t>
      </w:r>
      <w:proofErr w:type="spellStart"/>
      <w:r>
        <w:t>воспроизводимости</w:t>
      </w:r>
      <w:proofErr w:type="spellEnd"/>
      <w:r>
        <w:t>, что приводит к относительно высокой неопределенности, так как имеет место нестабильность измерительной системы.</w:t>
      </w:r>
    </w:p>
    <w:p w:rsidR="00000000" w:rsidRDefault="005829C2">
      <w:pPr>
        <w:pStyle w:val="FORMATTEXT"/>
        <w:ind w:firstLine="568"/>
        <w:jc w:val="both"/>
      </w:pPr>
    </w:p>
    <w:p w:rsidR="00000000" w:rsidRDefault="005829C2">
      <w:pPr>
        <w:pStyle w:val="FORMATTEXT"/>
        <w:ind w:firstLine="568"/>
        <w:jc w:val="both"/>
      </w:pPr>
      <w:r>
        <w:t>Изохронное исследование стабильности позволяет проводить измерения в условиях повторяемости [13], т.е. с и</w:t>
      </w:r>
      <w:r>
        <w:t>спользованием одной градуировки в течение одной серии измерений. Слово "изохронный" подчеркивает, что измерения выполняют в одно и то же время, а не распределяют в течение всего исследования стабильности, как это имеет место при классическом подходе.</w:t>
      </w:r>
    </w:p>
    <w:p w:rsidR="00000000" w:rsidRDefault="005829C2">
      <w:pPr>
        <w:pStyle w:val="FORMATTEXT"/>
        <w:ind w:firstLine="568"/>
        <w:jc w:val="both"/>
      </w:pPr>
    </w:p>
    <w:p w:rsidR="00000000" w:rsidRDefault="005829C2">
      <w:pPr>
        <w:pStyle w:val="FORMATTEXT"/>
        <w:ind w:firstLine="568"/>
        <w:jc w:val="both"/>
      </w:pPr>
      <w:r>
        <w:t>Изох</w:t>
      </w:r>
      <w:r>
        <w:t>ронный подход уменьшает разброс точек во времени, улучшая таким образом "разрешение" исследования стабильности. Как следствие, изохронное исследование стабильности обычно приводит к меньшей неопределенности, чем классическое, в зависимости от расхождения м</w:t>
      </w:r>
      <w:r>
        <w:t>ежду повторяемостью и (</w:t>
      </w:r>
      <w:proofErr w:type="spellStart"/>
      <w:r>
        <w:t>внутрилабораторной</w:t>
      </w:r>
      <w:proofErr w:type="spellEnd"/>
      <w:r>
        <w:t xml:space="preserve">) </w:t>
      </w:r>
      <w:proofErr w:type="spellStart"/>
      <w:r>
        <w:t>воспроизводимостью</w:t>
      </w:r>
      <w:proofErr w:type="spellEnd"/>
      <w:r>
        <w:t xml:space="preserve"> измерений. Преимущество этой модели заключается в возможности определения условий, при которых не происходит ухудшение свойств или происходит не с такой скоростью, как при условиях, выбранных дл</w:t>
      </w:r>
      <w:r>
        <w:t>я хранения. Изохронный план предназначен специально для сертификаций (аттестаций) партии, так как его нельзя использовать при сертификации (аттестации) отдельного артефакта.</w:t>
      </w:r>
    </w:p>
    <w:p w:rsidR="00000000" w:rsidRDefault="005829C2">
      <w:pPr>
        <w:pStyle w:val="FORMATTEXT"/>
        <w:ind w:firstLine="568"/>
        <w:jc w:val="both"/>
      </w:pPr>
    </w:p>
    <w:p w:rsidR="00000000" w:rsidRDefault="005829C2">
      <w:pPr>
        <w:pStyle w:val="FORMATTEXT"/>
        <w:ind w:firstLine="568"/>
        <w:jc w:val="both"/>
      </w:pPr>
      <w:r>
        <w:t>Оба плана эксперимента подходят для исследования долговременной и кратковременной</w:t>
      </w:r>
      <w:r>
        <w:t xml:space="preserve"> стабильности. При проведении исследования кратковременной стабильности поведение материала и значений его параметров исследуется (по крайней мере) в рекомендуемых (заданных) условиях упаковки и транспортирования. Чем более ограничены условия транспортиров</w:t>
      </w:r>
      <w:r>
        <w:t xml:space="preserve">ания, тем меньше может быть объем исследования кратковременной стабильности. Рекомендуется устанавливать такие </w:t>
      </w:r>
      <w:r>
        <w:lastRenderedPageBreak/>
        <w:t xml:space="preserve">условия транспортирования, при которых нестабильность материала будет не больше, чем при исследовании долговременной стабильности </w:t>
      </w:r>
      <w:proofErr w:type="gramStart"/>
      <w:r>
        <w:t>с</w:t>
      </w:r>
      <w:proofErr w:type="gramEnd"/>
      <w:r>
        <w:t xml:space="preserve"> тем, чтобы не</w:t>
      </w:r>
      <w:r>
        <w:t xml:space="preserve"> было необходимости включать в сертификацию (аттестацию) вклад неопределенности для кратковременной стабильности. Для некоторых видов СО (например, клинических, биологических и природных) не всегда очевидно, что можно поддерживать условия транспортирования</w:t>
      </w:r>
      <w:r>
        <w:t>, позволяющие игнорировать влияние транспортирования на материал. При отсутствии предыдущего опыта в отношении конкретной комбинации "матрица/параметр" исследование кратковременной стабильности можно проводить при различных температурах для получения инфор</w:t>
      </w:r>
      <w:r>
        <w:t>мации о подходящих условиях хранения и необходимости принимать меры во время транспортирования.</w:t>
      </w:r>
    </w:p>
    <w:p w:rsidR="00000000" w:rsidRDefault="005829C2">
      <w:pPr>
        <w:pStyle w:val="FORMATTEXT"/>
        <w:ind w:firstLine="568"/>
        <w:jc w:val="both"/>
      </w:pPr>
    </w:p>
    <w:p w:rsidR="00000000" w:rsidRDefault="005829C2">
      <w:pPr>
        <w:pStyle w:val="FORMATTEXT"/>
        <w:ind w:firstLine="568"/>
        <w:jc w:val="both"/>
      </w:pPr>
      <w:r>
        <w:t xml:space="preserve">Такое исследование обычно занимает 2 </w:t>
      </w:r>
      <w:proofErr w:type="spellStart"/>
      <w:r>
        <w:t>мес</w:t>
      </w:r>
      <w:proofErr w:type="spellEnd"/>
      <w:r>
        <w:t xml:space="preserve">, но может быть продлено до 6-12 </w:t>
      </w:r>
      <w:proofErr w:type="spellStart"/>
      <w:r>
        <w:t>мес</w:t>
      </w:r>
      <w:proofErr w:type="spellEnd"/>
      <w:r>
        <w:t xml:space="preserve"> для получения информации о долговременной стабильности. Диапазон температур для та</w:t>
      </w:r>
      <w:r>
        <w:t xml:space="preserve">кого продолжения может быть уменьшен до необходимого, так как исследование после 2 </w:t>
      </w:r>
      <w:proofErr w:type="spellStart"/>
      <w:r>
        <w:t>мес</w:t>
      </w:r>
      <w:proofErr w:type="spellEnd"/>
      <w:r>
        <w:t xml:space="preserve"> касается только условий хранения. Любое транспортирование ССО (АСО) может и должно быть организовано таким образом, чтобы время, необходимое для транспортирования, было </w:t>
      </w:r>
      <w:r>
        <w:t xml:space="preserve">как можно короче. Опыт показал, что оптимальный срок - 2 </w:t>
      </w:r>
      <w:proofErr w:type="spellStart"/>
      <w:r>
        <w:t>нед</w:t>
      </w:r>
      <w:proofErr w:type="spellEnd"/>
      <w:r>
        <w:t>, но могут быть исключения. В любом случае кратковременная стабильность должна включать значения температуры, которые могут иметь место при транспортировании (например, от 70°С и до минус 50°С) пр</w:t>
      </w:r>
      <w:r>
        <w:t xml:space="preserve">одолжительностью, равной как минимум периоду, предусмотренному для транспортирования ССО (АСО). Если такой период ограничен, например, 3 </w:t>
      </w:r>
      <w:proofErr w:type="spellStart"/>
      <w:r>
        <w:t>нед</w:t>
      </w:r>
      <w:proofErr w:type="spellEnd"/>
      <w:r>
        <w:t xml:space="preserve">, исследование кратковременной стабильности в течение 3-4 </w:t>
      </w:r>
      <w:proofErr w:type="spellStart"/>
      <w:r>
        <w:t>нед</w:t>
      </w:r>
      <w:proofErr w:type="spellEnd"/>
      <w:r>
        <w:t xml:space="preserve"> будет достаточным.</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8.3 Оценка результатов </w:t>
      </w:r>
    </w:p>
    <w:p w:rsidR="00000000" w:rsidRDefault="005829C2">
      <w:pPr>
        <w:pStyle w:val="FORMATTEXT"/>
        <w:ind w:firstLine="568"/>
        <w:jc w:val="both"/>
      </w:pPr>
      <w:r>
        <w:rPr>
          <w:b/>
          <w:bCs/>
        </w:rPr>
        <w:t>8.3</w:t>
      </w:r>
      <w:r>
        <w:rPr>
          <w:b/>
          <w:bCs/>
        </w:rPr>
        <w:t>.1 Анализ тренда</w:t>
      </w:r>
    </w:p>
    <w:p w:rsidR="00000000" w:rsidRDefault="005829C2">
      <w:pPr>
        <w:pStyle w:val="FORMATTEXT"/>
        <w:ind w:firstLine="568"/>
        <w:jc w:val="both"/>
      </w:pPr>
    </w:p>
    <w:p w:rsidR="00000000" w:rsidRDefault="005829C2">
      <w:pPr>
        <w:pStyle w:val="FORMATTEXT"/>
        <w:ind w:firstLine="568"/>
        <w:jc w:val="both"/>
      </w:pPr>
      <w:r>
        <w:t>На первом этапе оценки результатов исследования стабильности следует проверить возможность возникновения тренда в данных. При незначительной нестабильности, когда неизвестен основной кинетический механизм, подходящей моделью является лине</w:t>
      </w:r>
      <w:r>
        <w:t>йная аппроксимация. В тех случаях, где причиной нестабильности является установленный механизм, такая модель будет предпочтительнее (эмпирической) линейной модели. Для других моделей математика немного сложнее, чем прямая линия, но оценка проводится аналог</w:t>
      </w:r>
      <w:r>
        <w:t xml:space="preserve">ично с использованием </w:t>
      </w:r>
      <w:r>
        <w:rPr>
          <w:i/>
          <w:iCs/>
        </w:rPr>
        <w:t>F</w:t>
      </w:r>
      <w:r>
        <w:t>-критерия для испытания тренда на значимость.</w:t>
      </w:r>
    </w:p>
    <w:p w:rsidR="00000000" w:rsidRDefault="005829C2">
      <w:pPr>
        <w:pStyle w:val="FORMATTEXT"/>
        <w:ind w:firstLine="568"/>
        <w:jc w:val="both"/>
      </w:pPr>
    </w:p>
    <w:p w:rsidR="00000000" w:rsidRDefault="005829C2">
      <w:pPr>
        <w:pStyle w:val="FORMATTEXT"/>
        <w:ind w:firstLine="568"/>
        <w:jc w:val="both"/>
      </w:pPr>
      <w:r>
        <w:t>При отсутствии установленного кинетического механизма, основная модель простой линейной регрессии может быть выражена [24] в виде:</w:t>
      </w:r>
    </w:p>
    <w:p w:rsidR="00000000" w:rsidRDefault="005829C2">
      <w:pPr>
        <w:pStyle w:val="FORMATTEXT"/>
        <w:ind w:firstLine="568"/>
        <w:jc w:val="both"/>
      </w:pPr>
    </w:p>
    <w:p w:rsidR="00000000" w:rsidRDefault="00862BD0">
      <w:pPr>
        <w:pStyle w:val="FORMATTEXT"/>
        <w:jc w:val="right"/>
      </w:pPr>
      <w:r>
        <w:rPr>
          <w:noProof/>
          <w:position w:val="-10"/>
        </w:rPr>
        <w:drawing>
          <wp:inline distT="0" distB="0" distL="0" distR="0">
            <wp:extent cx="1057275" cy="228600"/>
            <wp:effectExtent l="0" t="0" r="9525"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057275" cy="228600"/>
                    </a:xfrm>
                    <a:prstGeom prst="rect">
                      <a:avLst/>
                    </a:prstGeom>
                    <a:noFill/>
                    <a:ln>
                      <a:noFill/>
                    </a:ln>
                  </pic:spPr>
                </pic:pic>
              </a:graphicData>
            </a:graphic>
          </wp:inline>
        </w:drawing>
      </w:r>
      <w:r w:rsidR="005829C2">
        <w:t>,                  </w:t>
      </w:r>
      <w:r w:rsidR="005829C2">
        <w:t xml:space="preserve">                                               (7) </w:t>
      </w:r>
    </w:p>
    <w:p w:rsidR="00000000" w:rsidRDefault="005829C2">
      <w:pPr>
        <w:pStyle w:val="FORMATTEXT"/>
        <w:jc w:val="both"/>
      </w:pPr>
    </w:p>
    <w:p w:rsidR="00000000" w:rsidRDefault="005829C2">
      <w:pPr>
        <w:pStyle w:val="FORMATTEXT"/>
        <w:jc w:val="both"/>
      </w:pPr>
    </w:p>
    <w:p w:rsidR="00000000" w:rsidRDefault="005829C2">
      <w:pPr>
        <w:pStyle w:val="FORMATTEXT"/>
        <w:jc w:val="both"/>
      </w:pPr>
      <w:r>
        <w:t xml:space="preserve">где </w:t>
      </w:r>
      <w:r w:rsidR="00862BD0">
        <w:rPr>
          <w:noProof/>
          <w:position w:val="-10"/>
        </w:rPr>
        <w:drawing>
          <wp:inline distT="0" distB="0" distL="0" distR="0">
            <wp:extent cx="180975" cy="228600"/>
            <wp:effectExtent l="0" t="0" r="9525"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r>
      <w:r>
        <w:t xml:space="preserve">и </w:t>
      </w:r>
      <w:r w:rsidR="00862BD0">
        <w:rPr>
          <w:noProof/>
          <w:position w:val="-9"/>
        </w:rPr>
        <w:drawing>
          <wp:inline distT="0" distB="0" distL="0" distR="0">
            <wp:extent cx="161925" cy="219075"/>
            <wp:effectExtent l="0" t="0" r="9525" b="9525"/>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61925" cy="219075"/>
                    </a:xfrm>
                    <a:prstGeom prst="rect">
                      <a:avLst/>
                    </a:prstGeom>
                    <a:noFill/>
                    <a:ln>
                      <a:noFill/>
                    </a:ln>
                  </pic:spPr>
                </pic:pic>
              </a:graphicData>
            </a:graphic>
          </wp:inline>
        </w:drawing>
      </w:r>
      <w:r>
        <w:t xml:space="preserve">- коэффициенты регрессии и </w:t>
      </w:r>
      <w:r w:rsidR="00862BD0">
        <w:rPr>
          <w:noProof/>
          <w:position w:val="-6"/>
        </w:rPr>
        <w:drawing>
          <wp:inline distT="0" distB="0" distL="0" distR="0">
            <wp:extent cx="114300" cy="142875"/>
            <wp:effectExtent l="0" t="0" r="0" b="9525"/>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t xml:space="preserve">обозначает составляющую случайной погрешности. </w:t>
      </w:r>
    </w:p>
    <w:p w:rsidR="00000000" w:rsidRDefault="005829C2">
      <w:pPr>
        <w:pStyle w:val="FORMATTEXT"/>
        <w:ind w:firstLine="568"/>
        <w:jc w:val="both"/>
      </w:pPr>
      <w:r>
        <w:rPr>
          <w:b/>
          <w:bCs/>
          <w:i/>
          <w:iCs/>
        </w:rPr>
        <w:t>Пример</w:t>
      </w:r>
      <w:r>
        <w:t xml:space="preserve"> - </w:t>
      </w:r>
      <w:r>
        <w:rPr>
          <w:b/>
          <w:bCs/>
          <w:i/>
          <w:iCs/>
        </w:rPr>
        <w:t>СО, со</w:t>
      </w:r>
      <w:r>
        <w:rPr>
          <w:b/>
          <w:bCs/>
          <w:i/>
          <w:iCs/>
        </w:rPr>
        <w:t>держащий радиоактивный изотоп, является примером параметра с установленным кинетическим механизмом, в данном случае радиоактивным распадом.</w:t>
      </w:r>
    </w:p>
    <w:p w:rsidR="00000000" w:rsidRDefault="005829C2">
      <w:pPr>
        <w:pStyle w:val="FORMATTEXT"/>
        <w:ind w:firstLine="568"/>
        <w:jc w:val="both"/>
      </w:pPr>
    </w:p>
    <w:p w:rsidR="00000000" w:rsidRDefault="005829C2">
      <w:pPr>
        <w:pStyle w:val="FORMATTEXT"/>
        <w:ind w:firstLine="568"/>
        <w:jc w:val="both"/>
      </w:pPr>
      <w:r>
        <w:t xml:space="preserve">Составляющая случайной погрешности </w:t>
      </w:r>
      <w:r w:rsidR="00862BD0">
        <w:rPr>
          <w:noProof/>
          <w:position w:val="-6"/>
        </w:rPr>
        <w:drawing>
          <wp:inline distT="0" distB="0" distL="0" distR="0">
            <wp:extent cx="114300" cy="142875"/>
            <wp:effectExtent l="0" t="0" r="0" b="9525"/>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t>может состоять только из одной случайной погр</w:t>
      </w:r>
      <w:r>
        <w:t xml:space="preserve">ешности, но может также содержать один или несколько систематических факторов. В случае исследования стабильности </w:t>
      </w:r>
      <w:r>
        <w:rPr>
          <w:i/>
          <w:iCs/>
        </w:rPr>
        <w:t>Х</w:t>
      </w:r>
      <w:r>
        <w:t xml:space="preserve"> обозначает время и </w:t>
      </w:r>
      <w:r>
        <w:rPr>
          <w:i/>
          <w:iCs/>
        </w:rPr>
        <w:t>Y</w:t>
      </w:r>
      <w:r>
        <w:t xml:space="preserve"> - значение параметра исходного материала ССО (АСО). Для стабильного СО ожидается, что </w:t>
      </w:r>
      <w:r w:rsidR="00862BD0">
        <w:rPr>
          <w:noProof/>
          <w:position w:val="-9"/>
        </w:rPr>
        <w:drawing>
          <wp:inline distT="0" distB="0" distL="0" distR="0">
            <wp:extent cx="161925" cy="219075"/>
            <wp:effectExtent l="0" t="0" r="9525" b="9525"/>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61925" cy="219075"/>
                    </a:xfrm>
                    <a:prstGeom prst="rect">
                      <a:avLst/>
                    </a:prstGeom>
                    <a:noFill/>
                    <a:ln>
                      <a:noFill/>
                    </a:ln>
                  </pic:spPr>
                </pic:pic>
              </a:graphicData>
            </a:graphic>
          </wp:inline>
        </w:drawing>
      </w:r>
      <w:r>
        <w:t xml:space="preserve">равно нулю. Вывод выражений для оценивания </w:t>
      </w:r>
      <w:r w:rsidR="00862BD0">
        <w:rPr>
          <w:noProof/>
          <w:position w:val="-10"/>
        </w:rPr>
        <w:drawing>
          <wp:inline distT="0" distB="0" distL="0" distR="0">
            <wp:extent cx="180975" cy="228600"/>
            <wp:effectExtent l="0" t="0" r="9525"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r>
      <w:proofErr w:type="gramStart"/>
      <w:r>
        <w:t xml:space="preserve">и </w:t>
      </w:r>
      <w:r w:rsidR="00862BD0">
        <w:rPr>
          <w:noProof/>
          <w:position w:val="-9"/>
        </w:rPr>
        <w:drawing>
          <wp:inline distT="0" distB="0" distL="0" distR="0">
            <wp:extent cx="161925" cy="219075"/>
            <wp:effectExtent l="0" t="0" r="9525" b="9525"/>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61925" cy="219075"/>
                    </a:xfrm>
                    <a:prstGeom prst="rect">
                      <a:avLst/>
                    </a:prstGeom>
                    <a:noFill/>
                    <a:ln>
                      <a:noFill/>
                    </a:ln>
                  </pic:spPr>
                </pic:pic>
              </a:graphicData>
            </a:graphic>
          </wp:inline>
        </w:drawing>
      </w:r>
      <w:r>
        <w:t>,</w:t>
      </w:r>
      <w:proofErr w:type="gramEnd"/>
      <w:r>
        <w:t xml:space="preserve"> как и расчет разного рода дисперсий, идет по тому же пути, что и вывод выражений для дисперсионного анализа, как показано в ссылке [20]</w:t>
      </w:r>
      <w:r>
        <w:t>.</w:t>
      </w:r>
    </w:p>
    <w:p w:rsidR="00000000" w:rsidRDefault="005829C2">
      <w:pPr>
        <w:pStyle w:val="FORMATTEXT"/>
        <w:ind w:firstLine="568"/>
        <w:jc w:val="both"/>
      </w:pPr>
    </w:p>
    <w:p w:rsidR="00000000" w:rsidRDefault="005829C2">
      <w:pPr>
        <w:pStyle w:val="FORMATTEXT"/>
        <w:ind w:firstLine="568"/>
        <w:jc w:val="both"/>
      </w:pPr>
      <w:r>
        <w:t xml:space="preserve">Зная набор из </w:t>
      </w:r>
      <w:r>
        <w:rPr>
          <w:i/>
          <w:iCs/>
        </w:rPr>
        <w:t>n</w:t>
      </w:r>
      <w:r>
        <w:t xml:space="preserve"> парных наблюдений </w:t>
      </w:r>
      <w:r>
        <w:rPr>
          <w:i/>
          <w:iCs/>
        </w:rPr>
        <w:t>Y</w:t>
      </w:r>
      <w:r>
        <w:t xml:space="preserve"> против </w:t>
      </w:r>
      <w:r>
        <w:rPr>
          <w:i/>
          <w:iCs/>
        </w:rPr>
        <w:t>X</w:t>
      </w:r>
      <w:r w:rsidR="00862BD0">
        <w:rPr>
          <w:noProof/>
          <w:position w:val="-9"/>
        </w:rPr>
        <w:drawing>
          <wp:inline distT="0" distB="0" distL="0" distR="0">
            <wp:extent cx="76200" cy="219075"/>
            <wp:effectExtent l="0" t="0" r="0" b="9525"/>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76200" cy="219075"/>
                    </a:xfrm>
                    <a:prstGeom prst="rect">
                      <a:avLst/>
                    </a:prstGeom>
                    <a:noFill/>
                    <a:ln>
                      <a:noFill/>
                    </a:ln>
                  </pic:spPr>
                </pic:pic>
              </a:graphicData>
            </a:graphic>
          </wp:inline>
        </w:drawing>
      </w:r>
      <w:r>
        <w:t xml:space="preserve">, для каждого </w:t>
      </w:r>
      <w:r>
        <w:rPr>
          <w:i/>
          <w:iCs/>
        </w:rPr>
        <w:t>Y</w:t>
      </w:r>
      <w:r w:rsidR="00862BD0">
        <w:rPr>
          <w:noProof/>
          <w:position w:val="-9"/>
        </w:rPr>
        <w:drawing>
          <wp:inline distT="0" distB="0" distL="0" distR="0">
            <wp:extent cx="76200" cy="219075"/>
            <wp:effectExtent l="0" t="0" r="0" b="9525"/>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76200" cy="219075"/>
                    </a:xfrm>
                    <a:prstGeom prst="rect">
                      <a:avLst/>
                    </a:prstGeom>
                    <a:noFill/>
                    <a:ln>
                      <a:noFill/>
                    </a:ln>
                  </pic:spPr>
                </pic:pic>
              </a:graphicData>
            </a:graphic>
          </wp:inline>
        </w:drawing>
      </w:r>
      <w:r>
        <w:t xml:space="preserve"> можно вывести следующее выражение:</w:t>
      </w:r>
    </w:p>
    <w:p w:rsidR="00000000" w:rsidRDefault="005829C2">
      <w:pPr>
        <w:pStyle w:val="FORMATTEXT"/>
        <w:ind w:firstLine="568"/>
        <w:jc w:val="both"/>
      </w:pPr>
    </w:p>
    <w:p w:rsidR="00000000" w:rsidRDefault="00862BD0">
      <w:pPr>
        <w:pStyle w:val="FORMATTEXT"/>
        <w:jc w:val="right"/>
      </w:pPr>
      <w:r>
        <w:rPr>
          <w:noProof/>
          <w:position w:val="-10"/>
        </w:rPr>
        <w:drawing>
          <wp:inline distT="0" distB="0" distL="0" distR="0">
            <wp:extent cx="1143000" cy="228600"/>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143000" cy="228600"/>
                    </a:xfrm>
                    <a:prstGeom prst="rect">
                      <a:avLst/>
                    </a:prstGeom>
                    <a:noFill/>
                    <a:ln>
                      <a:noFill/>
                    </a:ln>
                  </pic:spPr>
                </pic:pic>
              </a:graphicData>
            </a:graphic>
          </wp:inline>
        </w:drawing>
      </w:r>
      <w:r w:rsidR="005829C2">
        <w:t xml:space="preserve">.                                                           (8) </w:t>
      </w:r>
    </w:p>
    <w:p w:rsidR="00000000" w:rsidRDefault="005829C2">
      <w:pPr>
        <w:pStyle w:val="FORMATTEXT"/>
        <w:ind w:firstLine="568"/>
        <w:jc w:val="both"/>
      </w:pPr>
      <w:r>
        <w:t xml:space="preserve">Часто для каждого </w:t>
      </w:r>
      <w:r>
        <w:rPr>
          <w:i/>
          <w:iCs/>
        </w:rPr>
        <w:t>X</w:t>
      </w:r>
      <w:r w:rsidR="00862BD0">
        <w:rPr>
          <w:noProof/>
          <w:position w:val="-10"/>
        </w:rPr>
        <w:drawing>
          <wp:inline distT="0" distB="0" distL="0" distR="0">
            <wp:extent cx="85725" cy="228600"/>
            <wp:effectExtent l="0" t="0" r="9525"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t xml:space="preserve"> будет более одного значения </w:t>
      </w:r>
      <w:r>
        <w:rPr>
          <w:i/>
          <w:iCs/>
        </w:rPr>
        <w:t>Y</w:t>
      </w:r>
      <w:r w:rsidR="00862BD0">
        <w:rPr>
          <w:noProof/>
          <w:position w:val="-10"/>
        </w:rPr>
        <w:drawing>
          <wp:inline distT="0" distB="0" distL="0" distR="0">
            <wp:extent cx="85725" cy="228600"/>
            <wp:effectExtent l="0" t="0" r="9525"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t xml:space="preserve"> вследствие повторения измерений, использования более одного экземпляра за один раз и т.д. Эти аспекты должны включаться в модель конкретного исследования стабильности. </w:t>
      </w:r>
      <w:r>
        <w:t xml:space="preserve">Однако для анализа тренда можно использовать средний результат от всех экземпляров за время </w:t>
      </w:r>
      <w:r>
        <w:rPr>
          <w:i/>
          <w:iCs/>
        </w:rPr>
        <w:t>X</w:t>
      </w:r>
      <w:r w:rsidR="00862BD0">
        <w:rPr>
          <w:noProof/>
          <w:position w:val="-10"/>
        </w:rPr>
        <w:drawing>
          <wp:inline distT="0" distB="0" distL="0" distR="0">
            <wp:extent cx="85725" cy="228600"/>
            <wp:effectExtent l="0" t="0" r="9525"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rPr>
          <w:i/>
          <w:iCs/>
        </w:rPr>
        <w:t>.</w:t>
      </w:r>
      <w:r>
        <w:t xml:space="preserve"> На основе этого раздела и [20] можно уверенно вывести эти выражения.</w:t>
      </w:r>
    </w:p>
    <w:p w:rsidR="00000000" w:rsidRDefault="005829C2">
      <w:pPr>
        <w:pStyle w:val="FORMATTEXT"/>
        <w:ind w:firstLine="568"/>
        <w:jc w:val="both"/>
      </w:pPr>
    </w:p>
    <w:p w:rsidR="00000000" w:rsidRDefault="005829C2">
      <w:pPr>
        <w:pStyle w:val="FORMATTEXT"/>
        <w:ind w:firstLine="568"/>
        <w:jc w:val="both"/>
      </w:pPr>
      <w:r>
        <w:t>Параметры регрессии можно рассчитать, используя следующие выражения. Для оценки наклона можно использовать следующее выражение:</w:t>
      </w:r>
    </w:p>
    <w:p w:rsidR="00000000" w:rsidRDefault="005829C2">
      <w:pPr>
        <w:pStyle w:val="FORMATTEXT"/>
        <w:ind w:firstLine="568"/>
        <w:jc w:val="both"/>
      </w:pPr>
    </w:p>
    <w:p w:rsidR="00000000" w:rsidRDefault="00862BD0">
      <w:pPr>
        <w:pStyle w:val="FORMATTEXT"/>
        <w:jc w:val="right"/>
      </w:pPr>
      <w:r>
        <w:rPr>
          <w:noProof/>
          <w:position w:val="-35"/>
        </w:rPr>
        <w:drawing>
          <wp:inline distT="0" distB="0" distL="0" distR="0">
            <wp:extent cx="1447800" cy="866775"/>
            <wp:effectExtent l="0" t="0" r="0" b="9525"/>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447800" cy="866775"/>
                    </a:xfrm>
                    <a:prstGeom prst="rect">
                      <a:avLst/>
                    </a:prstGeom>
                    <a:noFill/>
                    <a:ln>
                      <a:noFill/>
                    </a:ln>
                  </pic:spPr>
                </pic:pic>
              </a:graphicData>
            </a:graphic>
          </wp:inline>
        </w:drawing>
      </w:r>
      <w:r w:rsidR="005829C2">
        <w:t xml:space="preserve">.                                                         (9) </w:t>
      </w:r>
    </w:p>
    <w:p w:rsidR="00000000" w:rsidRDefault="005829C2">
      <w:pPr>
        <w:pStyle w:val="FORMATTEXT"/>
        <w:ind w:firstLine="568"/>
        <w:jc w:val="both"/>
      </w:pPr>
      <w:r>
        <w:t>Оценку отрезка, отсекаемого на координатной оси, можно рассчитать по формуле:</w:t>
      </w:r>
    </w:p>
    <w:p w:rsidR="00000000" w:rsidRDefault="005829C2">
      <w:pPr>
        <w:pStyle w:val="FORMATTEXT"/>
        <w:ind w:firstLine="568"/>
        <w:jc w:val="both"/>
      </w:pPr>
    </w:p>
    <w:p w:rsidR="00000000" w:rsidRDefault="00862BD0">
      <w:pPr>
        <w:pStyle w:val="FORMATTEXT"/>
        <w:jc w:val="right"/>
      </w:pPr>
      <w:r>
        <w:rPr>
          <w:noProof/>
          <w:position w:val="-11"/>
        </w:rPr>
        <w:drawing>
          <wp:inline distT="0" distB="0" distL="0" distR="0">
            <wp:extent cx="838200" cy="257175"/>
            <wp:effectExtent l="0" t="0" r="0" b="9525"/>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838200" cy="257175"/>
                    </a:xfrm>
                    <a:prstGeom prst="rect">
                      <a:avLst/>
                    </a:prstGeom>
                    <a:noFill/>
                    <a:ln>
                      <a:noFill/>
                    </a:ln>
                  </pic:spPr>
                </pic:pic>
              </a:graphicData>
            </a:graphic>
          </wp:inline>
        </w:drawing>
      </w:r>
      <w:r w:rsidR="005829C2">
        <w:t>.                                                            (1</w:t>
      </w:r>
      <w:r w:rsidR="005829C2">
        <w:t xml:space="preserve">0) </w:t>
      </w:r>
    </w:p>
    <w:p w:rsidR="00000000" w:rsidRDefault="005829C2">
      <w:pPr>
        <w:pStyle w:val="FORMATTEXT"/>
        <w:ind w:firstLine="568"/>
        <w:jc w:val="both"/>
      </w:pPr>
      <w:r>
        <w:t xml:space="preserve">Из анализа погрешности можно рассчитать выражения для стандартных отклонений в </w:t>
      </w:r>
      <w:r>
        <w:rPr>
          <w:i/>
          <w:iCs/>
        </w:rPr>
        <w:t>b</w:t>
      </w:r>
      <w:r w:rsidR="00862BD0">
        <w:rPr>
          <w:noProof/>
          <w:position w:val="-9"/>
        </w:rPr>
        <w:drawing>
          <wp:inline distT="0" distB="0" distL="0" distR="0">
            <wp:extent cx="85725" cy="219075"/>
            <wp:effectExtent l="0" t="0" r="9525" b="9525"/>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t xml:space="preserve"> и </w:t>
      </w:r>
      <w:r>
        <w:rPr>
          <w:i/>
          <w:iCs/>
        </w:rPr>
        <w:t>b</w:t>
      </w:r>
      <w:r w:rsidR="00862BD0">
        <w:rPr>
          <w:noProof/>
          <w:position w:val="-10"/>
        </w:rPr>
        <w:drawing>
          <wp:inline distT="0" distB="0" distL="0" distR="0">
            <wp:extent cx="104775" cy="228600"/>
            <wp:effectExtent l="0" t="0" r="9525"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775" cy="228600"/>
                    </a:xfrm>
                    <a:prstGeom prst="rect">
                      <a:avLst/>
                    </a:prstGeom>
                    <a:noFill/>
                    <a:ln>
                      <a:noFill/>
                    </a:ln>
                  </pic:spPr>
                </pic:pic>
              </a:graphicData>
            </a:graphic>
          </wp:inline>
        </w:drawing>
      </w:r>
      <w:r>
        <w:t>.</w:t>
      </w:r>
    </w:p>
    <w:p w:rsidR="00000000" w:rsidRDefault="005829C2">
      <w:pPr>
        <w:pStyle w:val="FORMATTEXT"/>
        <w:ind w:firstLine="568"/>
        <w:jc w:val="both"/>
      </w:pPr>
    </w:p>
    <w:p w:rsidR="00000000" w:rsidRDefault="005829C2">
      <w:pPr>
        <w:pStyle w:val="FORMATTEXT"/>
        <w:ind w:firstLine="568"/>
        <w:jc w:val="both"/>
      </w:pPr>
      <w:r>
        <w:t xml:space="preserve">Оценка стандартного отклонения </w:t>
      </w:r>
      <w:r>
        <w:rPr>
          <w:i/>
          <w:iCs/>
        </w:rPr>
        <w:t>b</w:t>
      </w:r>
      <w:r w:rsidR="00862BD0">
        <w:rPr>
          <w:noProof/>
          <w:position w:val="-9"/>
        </w:rPr>
        <w:drawing>
          <wp:inline distT="0" distB="0" distL="0" distR="0">
            <wp:extent cx="85725" cy="219075"/>
            <wp:effectExtent l="0" t="0" r="9525" b="9525"/>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t xml:space="preserve"> рассчитывается по формуле:</w:t>
      </w:r>
    </w:p>
    <w:p w:rsidR="00000000" w:rsidRDefault="005829C2">
      <w:pPr>
        <w:pStyle w:val="FORMATTEXT"/>
        <w:ind w:firstLine="568"/>
        <w:jc w:val="both"/>
      </w:pPr>
    </w:p>
    <w:p w:rsidR="00000000" w:rsidRDefault="00862BD0">
      <w:pPr>
        <w:pStyle w:val="FORMATTEXT"/>
        <w:jc w:val="right"/>
      </w:pPr>
      <w:r>
        <w:rPr>
          <w:noProof/>
          <w:position w:val="-27"/>
        </w:rPr>
        <w:drawing>
          <wp:inline distT="0" distB="0" distL="0" distR="0">
            <wp:extent cx="1362075" cy="676275"/>
            <wp:effectExtent l="0" t="0" r="9525" b="9525"/>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362075" cy="676275"/>
                    </a:xfrm>
                    <a:prstGeom prst="rect">
                      <a:avLst/>
                    </a:prstGeom>
                    <a:noFill/>
                    <a:ln>
                      <a:noFill/>
                    </a:ln>
                  </pic:spPr>
                </pic:pic>
              </a:graphicData>
            </a:graphic>
          </wp:inline>
        </w:drawing>
      </w:r>
      <w:r w:rsidR="005829C2">
        <w:t xml:space="preserve">,                                                    (11) </w:t>
      </w:r>
    </w:p>
    <w:p w:rsidR="00000000" w:rsidRDefault="005829C2">
      <w:pPr>
        <w:pStyle w:val="FORMATTEXT"/>
      </w:pPr>
      <w:r>
        <w:t xml:space="preserve">где </w:t>
      </w:r>
    </w:p>
    <w:p w:rsidR="00000000" w:rsidRDefault="005829C2">
      <w:pPr>
        <w:pStyle w:val="FORMATTEXT"/>
        <w:jc w:val="right"/>
      </w:pPr>
      <w:r>
        <w:t>     </w:t>
      </w:r>
    </w:p>
    <w:p w:rsidR="00000000" w:rsidRDefault="00862BD0">
      <w:pPr>
        <w:pStyle w:val="FORMATTEXT"/>
        <w:jc w:val="right"/>
      </w:pPr>
      <w:r>
        <w:rPr>
          <w:noProof/>
          <w:position w:val="-25"/>
        </w:rPr>
        <w:drawing>
          <wp:inline distT="0" distB="0" distL="0" distR="0">
            <wp:extent cx="1552575" cy="619125"/>
            <wp:effectExtent l="0" t="0" r="9525" b="9525"/>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552575" cy="619125"/>
                    </a:xfrm>
                    <a:prstGeom prst="rect">
                      <a:avLst/>
                    </a:prstGeom>
                    <a:noFill/>
                    <a:ln>
                      <a:noFill/>
                    </a:ln>
                  </pic:spPr>
                </pic:pic>
              </a:graphicData>
            </a:graphic>
          </wp:inline>
        </w:drawing>
      </w:r>
      <w:r w:rsidR="005829C2">
        <w:t xml:space="preserve">.                                                (12) </w:t>
      </w:r>
    </w:p>
    <w:p w:rsidR="00000000" w:rsidRDefault="005829C2">
      <w:pPr>
        <w:pStyle w:val="FORMATTEXT"/>
        <w:ind w:firstLine="568"/>
        <w:jc w:val="both"/>
      </w:pPr>
      <w:r>
        <w:t xml:space="preserve">Оценка дисперсии </w:t>
      </w:r>
      <w:r>
        <w:rPr>
          <w:i/>
          <w:iCs/>
        </w:rPr>
        <w:t>b</w:t>
      </w:r>
      <w:r w:rsidR="00862BD0">
        <w:rPr>
          <w:noProof/>
          <w:position w:val="-10"/>
        </w:rPr>
        <w:drawing>
          <wp:inline distT="0" distB="0" distL="0" distR="0">
            <wp:extent cx="104775" cy="228600"/>
            <wp:effectExtent l="0" t="0" r="9525" b="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775" cy="228600"/>
                    </a:xfrm>
                    <a:prstGeom prst="rect">
                      <a:avLst/>
                    </a:prstGeom>
                    <a:noFill/>
                    <a:ln>
                      <a:noFill/>
                    </a:ln>
                  </pic:spPr>
                </pic:pic>
              </a:graphicData>
            </a:graphic>
          </wp:inline>
        </w:drawing>
      </w:r>
      <w:r>
        <w:t xml:space="preserve"> расс</w:t>
      </w:r>
      <w:r>
        <w:t>читывается по формуле:</w:t>
      </w:r>
    </w:p>
    <w:p w:rsidR="00000000" w:rsidRDefault="005829C2">
      <w:pPr>
        <w:pStyle w:val="FORMATTEXT"/>
        <w:ind w:firstLine="568"/>
        <w:jc w:val="both"/>
      </w:pPr>
    </w:p>
    <w:p w:rsidR="00000000" w:rsidRDefault="00862BD0">
      <w:pPr>
        <w:pStyle w:val="FORMATTEXT"/>
        <w:jc w:val="right"/>
      </w:pPr>
      <w:r>
        <w:rPr>
          <w:noProof/>
          <w:position w:val="-35"/>
        </w:rPr>
        <w:drawing>
          <wp:inline distT="0" distB="0" distL="0" distR="0">
            <wp:extent cx="3648075" cy="885825"/>
            <wp:effectExtent l="0" t="0" r="9525" b="9525"/>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648075" cy="885825"/>
                    </a:xfrm>
                    <a:prstGeom prst="rect">
                      <a:avLst/>
                    </a:prstGeom>
                    <a:noFill/>
                    <a:ln>
                      <a:noFill/>
                    </a:ln>
                  </pic:spPr>
                </pic:pic>
              </a:graphicData>
            </a:graphic>
          </wp:inline>
        </w:drawing>
      </w:r>
      <w:r w:rsidR="005829C2">
        <w:t>,                      (13)</w:t>
      </w:r>
    </w:p>
    <w:p w:rsidR="00000000" w:rsidRDefault="005829C2">
      <w:pPr>
        <w:pStyle w:val="FORMATTEXT"/>
        <w:jc w:val="both"/>
      </w:pPr>
      <w:r>
        <w:t xml:space="preserve">при этом следует отметить, что </w:t>
      </w:r>
      <w:r>
        <w:rPr>
          <w:i/>
          <w:iCs/>
        </w:rPr>
        <w:t>b</w:t>
      </w:r>
      <w:r w:rsidR="00862BD0">
        <w:rPr>
          <w:noProof/>
          <w:position w:val="-9"/>
        </w:rPr>
        <w:drawing>
          <wp:inline distT="0" distB="0" distL="0" distR="0">
            <wp:extent cx="85725" cy="219075"/>
            <wp:effectExtent l="0" t="0" r="9525" b="9525"/>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t xml:space="preserve"> и </w:t>
      </w:r>
      <w:r w:rsidR="00862BD0">
        <w:rPr>
          <w:noProof/>
          <w:position w:val="-8"/>
        </w:rPr>
        <w:drawing>
          <wp:inline distT="0" distB="0" distL="0" distR="0">
            <wp:extent cx="152400" cy="200025"/>
            <wp:effectExtent l="0" t="0" r="0" b="9525"/>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52400" cy="200025"/>
                    </a:xfrm>
                    <a:prstGeom prst="rect">
                      <a:avLst/>
                    </a:prstGeom>
                    <a:noFill/>
                    <a:ln>
                      <a:noFill/>
                    </a:ln>
                  </pic:spPr>
                </pic:pic>
              </a:graphicData>
            </a:graphic>
          </wp:inline>
        </w:drawing>
      </w:r>
      <w:proofErr w:type="spellStart"/>
      <w:r>
        <w:t>некоррелированы</w:t>
      </w:r>
      <w:proofErr w:type="spellEnd"/>
      <w:r>
        <w:t xml:space="preserve"> [24]. </w:t>
      </w:r>
    </w:p>
    <w:p w:rsidR="00000000" w:rsidRDefault="005829C2">
      <w:pPr>
        <w:pStyle w:val="FORMATTEXT"/>
        <w:ind w:firstLine="568"/>
        <w:jc w:val="both"/>
      </w:pPr>
      <w:r>
        <w:t>Оценку </w:t>
      </w:r>
      <w:r>
        <w:rPr>
          <w:i/>
          <w:iCs/>
        </w:rPr>
        <w:t>тренда</w:t>
      </w:r>
      <w:r>
        <w:t xml:space="preserve"> можно сделать на основе ст</w:t>
      </w:r>
      <w:r>
        <w:t xml:space="preserve">андартного отклонения </w:t>
      </w:r>
      <w:r>
        <w:rPr>
          <w:i/>
          <w:iCs/>
        </w:rPr>
        <w:t>b</w:t>
      </w:r>
      <w:r w:rsidR="00862BD0">
        <w:rPr>
          <w:noProof/>
          <w:position w:val="-9"/>
        </w:rPr>
        <w:drawing>
          <wp:inline distT="0" distB="0" distL="0" distR="0">
            <wp:extent cx="85725" cy="219075"/>
            <wp:effectExtent l="0" t="0" r="9525" b="9525"/>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t xml:space="preserve">. Используя формулу (11) и соответствующий </w:t>
      </w:r>
      <w:r>
        <w:rPr>
          <w:i/>
          <w:iCs/>
        </w:rPr>
        <w:t>t</w:t>
      </w:r>
      <w:r>
        <w:t xml:space="preserve">-фактор (соответствующее число степеней свободы равно </w:t>
      </w:r>
      <w:r>
        <w:rPr>
          <w:i/>
          <w:iCs/>
        </w:rPr>
        <w:t>n-</w:t>
      </w:r>
      <w:r>
        <w:t xml:space="preserve">2), </w:t>
      </w:r>
      <w:r>
        <w:rPr>
          <w:i/>
          <w:iCs/>
        </w:rPr>
        <w:t>b</w:t>
      </w:r>
      <w:r w:rsidR="00862BD0">
        <w:rPr>
          <w:noProof/>
          <w:position w:val="-9"/>
        </w:rPr>
        <w:drawing>
          <wp:inline distT="0" distB="0" distL="0" distR="0">
            <wp:extent cx="85725" cy="219075"/>
            <wp:effectExtent l="0" t="0" r="9525" b="9525"/>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t xml:space="preserve"> исследуют на значимость. Хотя этот метод совсем несложны</w:t>
      </w:r>
      <w:r>
        <w:t xml:space="preserve">й, он требует расчета </w:t>
      </w:r>
      <w:r w:rsidR="00862BD0">
        <w:rPr>
          <w:noProof/>
          <w:position w:val="-9"/>
        </w:rPr>
        <w:drawing>
          <wp:inline distT="0" distB="0" distL="0" distR="0">
            <wp:extent cx="333375" cy="219075"/>
            <wp:effectExtent l="0" t="0" r="9525" b="9525"/>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33375" cy="219075"/>
                    </a:xfrm>
                    <a:prstGeom prst="rect">
                      <a:avLst/>
                    </a:prstGeom>
                    <a:noFill/>
                    <a:ln>
                      <a:noFill/>
                    </a:ln>
                  </pic:spPr>
                </pic:pic>
              </a:graphicData>
            </a:graphic>
          </wp:inline>
        </w:drawing>
      </w:r>
      <w:r>
        <w:t xml:space="preserve">- показатель, который часто нельзя рассчитать, используя программное обеспечение. В большинстве случаев, однако, программное обеспечение позволяет рассчитать </w:t>
      </w:r>
      <w:r>
        <w:rPr>
          <w:i/>
          <w:iCs/>
        </w:rPr>
        <w:t>F</w:t>
      </w:r>
      <w:r>
        <w:t>-таблицу, которая может также использова</w:t>
      </w:r>
      <w:r>
        <w:t>ться для оценки значимости регрессии (см. таблицу 1).</w:t>
      </w:r>
    </w:p>
    <w:p w:rsidR="00000000" w:rsidRDefault="005829C2">
      <w:pPr>
        <w:pStyle w:val="FORMATTEXT"/>
        <w:ind w:firstLine="568"/>
        <w:jc w:val="both"/>
      </w:pPr>
    </w:p>
    <w:p w:rsidR="00000000" w:rsidRDefault="005829C2">
      <w:pPr>
        <w:pStyle w:val="FORMATTEXT"/>
        <w:jc w:val="both"/>
      </w:pPr>
      <w:r>
        <w:t>Таблица 1 - Анализ таблицы дисперсии для линейной регрессии</w:t>
      </w:r>
    </w:p>
    <w:tbl>
      <w:tblPr>
        <w:tblW w:w="0" w:type="auto"/>
        <w:tblInd w:w="28" w:type="dxa"/>
        <w:tblLayout w:type="fixed"/>
        <w:tblCellMar>
          <w:left w:w="90" w:type="dxa"/>
          <w:right w:w="90" w:type="dxa"/>
        </w:tblCellMar>
        <w:tblLook w:val="0000" w:firstRow="0" w:lastRow="0" w:firstColumn="0" w:lastColumn="0" w:noHBand="0" w:noVBand="0"/>
      </w:tblPr>
      <w:tblGrid>
        <w:gridCol w:w="2040"/>
        <w:gridCol w:w="1575"/>
        <w:gridCol w:w="2205"/>
        <w:gridCol w:w="1785"/>
        <w:gridCol w:w="1500"/>
      </w:tblGrid>
      <w:tr w:rsidR="00000000">
        <w:tblPrEx>
          <w:tblCellMar>
            <w:top w:w="0" w:type="dxa"/>
            <w:bottom w:w="0" w:type="dxa"/>
          </w:tblCellMar>
        </w:tblPrEx>
        <w:tc>
          <w:tcPr>
            <w:tcW w:w="2040"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157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220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178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1500"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20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Источник дисперсии </w:t>
            </w:r>
          </w:p>
        </w:tc>
        <w:tc>
          <w:tcPr>
            <w:tcW w:w="15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Степени свободы </w:t>
            </w:r>
          </w:p>
        </w:tc>
        <w:tc>
          <w:tcPr>
            <w:tcW w:w="220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Сумма квадратов </w:t>
            </w:r>
            <w:r>
              <w:rPr>
                <w:i/>
                <w:iCs/>
                <w:sz w:val="18"/>
                <w:szCs w:val="18"/>
              </w:rPr>
              <w:t>SS</w:t>
            </w:r>
            <w:r>
              <w:rPr>
                <w:sz w:val="18"/>
                <w:szCs w:val="18"/>
              </w:rPr>
              <w:t xml:space="preserve"> </w:t>
            </w:r>
          </w:p>
        </w:tc>
        <w:tc>
          <w:tcPr>
            <w:tcW w:w="178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Средний квадрат </w:t>
            </w:r>
            <w:r>
              <w:rPr>
                <w:i/>
                <w:iCs/>
                <w:sz w:val="18"/>
                <w:szCs w:val="18"/>
              </w:rPr>
              <w:t>MS</w:t>
            </w:r>
          </w:p>
        </w:tc>
        <w:tc>
          <w:tcPr>
            <w:tcW w:w="150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i/>
                <w:iCs/>
                <w:sz w:val="18"/>
                <w:szCs w:val="18"/>
              </w:rPr>
              <w:t>F</w:t>
            </w:r>
            <w:r>
              <w:rPr>
                <w:sz w:val="18"/>
                <w:szCs w:val="18"/>
              </w:rPr>
              <w:t xml:space="preserve"> </w:t>
            </w:r>
          </w:p>
        </w:tc>
      </w:tr>
      <w:tr w:rsidR="00000000">
        <w:tblPrEx>
          <w:tblCellMar>
            <w:top w:w="0" w:type="dxa"/>
            <w:bottom w:w="0" w:type="dxa"/>
          </w:tblCellMar>
        </w:tblPrEx>
        <w:tc>
          <w:tcPr>
            <w:tcW w:w="20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FORMATTEXT"/>
              <w:rPr>
                <w:sz w:val="18"/>
                <w:szCs w:val="18"/>
              </w:rPr>
            </w:pPr>
            <w:r>
              <w:rPr>
                <w:sz w:val="18"/>
                <w:szCs w:val="18"/>
              </w:rPr>
              <w:t>Вследствие</w:t>
            </w:r>
          </w:p>
          <w:p w:rsidR="00000000" w:rsidRDefault="005829C2">
            <w:pPr>
              <w:pStyle w:val="a3"/>
              <w:rPr>
                <w:sz w:val="18"/>
                <w:szCs w:val="18"/>
              </w:rPr>
            </w:pPr>
            <w:r>
              <w:rPr>
                <w:sz w:val="18"/>
                <w:szCs w:val="18"/>
              </w:rPr>
              <w:t xml:space="preserve">регрессии </w:t>
            </w:r>
          </w:p>
        </w:tc>
        <w:tc>
          <w:tcPr>
            <w:tcW w:w="15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 </w:t>
            </w:r>
          </w:p>
        </w:tc>
        <w:tc>
          <w:tcPr>
            <w:tcW w:w="220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862BD0">
            <w:pPr>
              <w:pStyle w:val="a3"/>
              <w:jc w:val="center"/>
              <w:rPr>
                <w:sz w:val="18"/>
                <w:szCs w:val="18"/>
              </w:rPr>
            </w:pPr>
            <w:r>
              <w:rPr>
                <w:noProof/>
                <w:position w:val="-16"/>
                <w:sz w:val="18"/>
                <w:szCs w:val="18"/>
              </w:rPr>
              <w:drawing>
                <wp:inline distT="0" distB="0" distL="0" distR="0">
                  <wp:extent cx="752475" cy="390525"/>
                  <wp:effectExtent l="0" t="0" r="9525" b="9525"/>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752475" cy="390525"/>
                          </a:xfrm>
                          <a:prstGeom prst="rect">
                            <a:avLst/>
                          </a:prstGeom>
                          <a:noFill/>
                          <a:ln>
                            <a:noFill/>
                          </a:ln>
                        </pic:spPr>
                      </pic:pic>
                    </a:graphicData>
                  </a:graphic>
                </wp:inline>
              </w:drawing>
            </w:r>
          </w:p>
        </w:tc>
        <w:tc>
          <w:tcPr>
            <w:tcW w:w="178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i/>
                <w:iCs/>
                <w:sz w:val="18"/>
                <w:szCs w:val="18"/>
              </w:rPr>
              <w:t>MS</w:t>
            </w:r>
            <w:r w:rsidR="00862BD0">
              <w:rPr>
                <w:noProof/>
                <w:position w:val="-10"/>
                <w:sz w:val="18"/>
                <w:szCs w:val="18"/>
              </w:rPr>
              <w:drawing>
                <wp:inline distT="0" distB="0" distL="0" distR="0">
                  <wp:extent cx="219075" cy="238125"/>
                  <wp:effectExtent l="0" t="0" r="9525" b="9525"/>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Pr>
                <w:sz w:val="18"/>
                <w:szCs w:val="18"/>
              </w:rPr>
              <w:t xml:space="preserve"> </w:t>
            </w:r>
          </w:p>
        </w:tc>
        <w:tc>
          <w:tcPr>
            <w:tcW w:w="150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862BD0">
            <w:pPr>
              <w:pStyle w:val="a3"/>
              <w:jc w:val="center"/>
              <w:rPr>
                <w:sz w:val="18"/>
                <w:szCs w:val="18"/>
              </w:rPr>
            </w:pPr>
            <w:r>
              <w:rPr>
                <w:noProof/>
                <w:position w:val="-17"/>
                <w:sz w:val="18"/>
                <w:szCs w:val="18"/>
              </w:rPr>
              <w:drawing>
                <wp:inline distT="0" distB="0" distL="0" distR="0">
                  <wp:extent cx="733425" cy="447675"/>
                  <wp:effectExtent l="0" t="0" r="9525" b="9525"/>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733425" cy="447675"/>
                          </a:xfrm>
                          <a:prstGeom prst="rect">
                            <a:avLst/>
                          </a:prstGeom>
                          <a:noFill/>
                          <a:ln>
                            <a:noFill/>
                          </a:ln>
                        </pic:spPr>
                      </pic:pic>
                    </a:graphicData>
                  </a:graphic>
                </wp:inline>
              </w:drawing>
            </w:r>
          </w:p>
        </w:tc>
      </w:tr>
      <w:tr w:rsidR="00000000">
        <w:tblPrEx>
          <w:tblCellMar>
            <w:top w:w="0" w:type="dxa"/>
            <w:bottom w:w="0" w:type="dxa"/>
          </w:tblCellMar>
        </w:tblPrEx>
        <w:tc>
          <w:tcPr>
            <w:tcW w:w="2040" w:type="dxa"/>
            <w:tcBorders>
              <w:top w:val="nil"/>
              <w:left w:val="single" w:sz="6" w:space="0" w:color="auto"/>
              <w:bottom w:val="nil"/>
              <w:right w:val="nil"/>
            </w:tcBorders>
            <w:tcMar>
              <w:top w:w="114" w:type="dxa"/>
              <w:left w:w="28" w:type="dxa"/>
              <w:bottom w:w="114" w:type="dxa"/>
              <w:right w:w="28" w:type="dxa"/>
            </w:tcMar>
          </w:tcPr>
          <w:p w:rsidR="00000000" w:rsidRDefault="005829C2">
            <w:pPr>
              <w:pStyle w:val="FORMATTEXT"/>
              <w:rPr>
                <w:sz w:val="18"/>
                <w:szCs w:val="18"/>
              </w:rPr>
            </w:pPr>
            <w:r>
              <w:rPr>
                <w:sz w:val="18"/>
                <w:szCs w:val="18"/>
              </w:rPr>
              <w:t>Относительно</w:t>
            </w:r>
          </w:p>
          <w:p w:rsidR="00000000" w:rsidRDefault="005829C2">
            <w:pPr>
              <w:pStyle w:val="FORMATTEXT"/>
              <w:rPr>
                <w:sz w:val="18"/>
                <w:szCs w:val="18"/>
              </w:rPr>
            </w:pPr>
            <w:r>
              <w:rPr>
                <w:sz w:val="18"/>
                <w:szCs w:val="18"/>
              </w:rPr>
              <w:t>регрессии</w:t>
            </w:r>
          </w:p>
          <w:p w:rsidR="00000000" w:rsidRDefault="005829C2">
            <w:pPr>
              <w:pStyle w:val="a3"/>
              <w:rPr>
                <w:sz w:val="18"/>
                <w:szCs w:val="18"/>
              </w:rPr>
            </w:pPr>
            <w:r>
              <w:rPr>
                <w:sz w:val="18"/>
                <w:szCs w:val="18"/>
              </w:rPr>
              <w:t xml:space="preserve">(остаточный) </w:t>
            </w:r>
          </w:p>
        </w:tc>
        <w:tc>
          <w:tcPr>
            <w:tcW w:w="157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i/>
                <w:iCs/>
                <w:sz w:val="18"/>
                <w:szCs w:val="18"/>
              </w:rPr>
              <w:t>n</w:t>
            </w:r>
            <w:r>
              <w:rPr>
                <w:sz w:val="18"/>
                <w:szCs w:val="18"/>
              </w:rPr>
              <w:t xml:space="preserve">-2 </w:t>
            </w:r>
          </w:p>
        </w:tc>
        <w:tc>
          <w:tcPr>
            <w:tcW w:w="2205" w:type="dxa"/>
            <w:tcBorders>
              <w:top w:val="nil"/>
              <w:left w:val="single" w:sz="6" w:space="0" w:color="auto"/>
              <w:bottom w:val="nil"/>
              <w:right w:val="nil"/>
            </w:tcBorders>
            <w:tcMar>
              <w:top w:w="114" w:type="dxa"/>
              <w:left w:w="28" w:type="dxa"/>
              <w:bottom w:w="114" w:type="dxa"/>
              <w:right w:w="28" w:type="dxa"/>
            </w:tcMar>
          </w:tcPr>
          <w:p w:rsidR="00000000" w:rsidRDefault="00862BD0">
            <w:pPr>
              <w:pStyle w:val="a3"/>
              <w:jc w:val="center"/>
              <w:rPr>
                <w:sz w:val="18"/>
                <w:szCs w:val="18"/>
              </w:rPr>
            </w:pPr>
            <w:r>
              <w:rPr>
                <w:noProof/>
                <w:position w:val="-17"/>
                <w:sz w:val="18"/>
                <w:szCs w:val="18"/>
              </w:rPr>
              <w:drawing>
                <wp:inline distT="0" distB="0" distL="0" distR="0">
                  <wp:extent cx="752475" cy="428625"/>
                  <wp:effectExtent l="0" t="0" r="9525" b="9525"/>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752475" cy="428625"/>
                          </a:xfrm>
                          <a:prstGeom prst="rect">
                            <a:avLst/>
                          </a:prstGeom>
                          <a:noFill/>
                          <a:ln>
                            <a:noFill/>
                          </a:ln>
                        </pic:spPr>
                      </pic:pic>
                    </a:graphicData>
                  </a:graphic>
                </wp:inline>
              </w:drawing>
            </w:r>
          </w:p>
        </w:tc>
        <w:tc>
          <w:tcPr>
            <w:tcW w:w="1785" w:type="dxa"/>
            <w:tcBorders>
              <w:top w:val="nil"/>
              <w:left w:val="single" w:sz="6" w:space="0" w:color="auto"/>
              <w:bottom w:val="nil"/>
              <w:right w:val="nil"/>
            </w:tcBorders>
            <w:tcMar>
              <w:top w:w="114" w:type="dxa"/>
              <w:left w:w="28" w:type="dxa"/>
              <w:bottom w:w="114" w:type="dxa"/>
              <w:right w:w="28" w:type="dxa"/>
            </w:tcMar>
          </w:tcPr>
          <w:p w:rsidR="00000000" w:rsidRDefault="00862BD0">
            <w:pPr>
              <w:pStyle w:val="a3"/>
              <w:jc w:val="center"/>
              <w:rPr>
                <w:sz w:val="18"/>
                <w:szCs w:val="18"/>
              </w:rPr>
            </w:pPr>
            <w:r>
              <w:rPr>
                <w:noProof/>
                <w:position w:val="-15"/>
                <w:sz w:val="18"/>
                <w:szCs w:val="18"/>
              </w:rPr>
              <w:drawing>
                <wp:inline distT="0" distB="0" distL="0" distR="0">
                  <wp:extent cx="676275" cy="390525"/>
                  <wp:effectExtent l="0" t="0" r="9525" b="9525"/>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76275" cy="390525"/>
                          </a:xfrm>
                          <a:prstGeom prst="rect">
                            <a:avLst/>
                          </a:prstGeom>
                          <a:noFill/>
                          <a:ln>
                            <a:noFill/>
                          </a:ln>
                        </pic:spPr>
                      </pic:pic>
                    </a:graphicData>
                  </a:graphic>
                </wp:inline>
              </w:drawing>
            </w:r>
          </w:p>
        </w:tc>
        <w:tc>
          <w:tcPr>
            <w:tcW w:w="150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829C2">
            <w:pPr>
              <w:pStyle w:val="a3"/>
              <w:rPr>
                <w:sz w:val="18"/>
                <w:szCs w:val="18"/>
              </w:rPr>
            </w:pPr>
            <w:r>
              <w:rPr>
                <w:sz w:val="18"/>
                <w:szCs w:val="18"/>
              </w:rPr>
              <w:t xml:space="preserve">  </w:t>
            </w:r>
          </w:p>
        </w:tc>
      </w:tr>
      <w:tr w:rsidR="00000000">
        <w:tblPrEx>
          <w:tblCellMar>
            <w:top w:w="0" w:type="dxa"/>
            <w:bottom w:w="0" w:type="dxa"/>
          </w:tblCellMar>
        </w:tblPrEx>
        <w:tc>
          <w:tcPr>
            <w:tcW w:w="2040"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5829C2">
            <w:pPr>
              <w:pStyle w:val="FORMATTEXT"/>
              <w:rPr>
                <w:sz w:val="18"/>
                <w:szCs w:val="18"/>
              </w:rPr>
            </w:pPr>
            <w:r>
              <w:rPr>
                <w:sz w:val="18"/>
                <w:szCs w:val="18"/>
              </w:rPr>
              <w:lastRenderedPageBreak/>
              <w:t>Общий,</w:t>
            </w:r>
          </w:p>
          <w:p w:rsidR="00000000" w:rsidRDefault="005829C2">
            <w:pPr>
              <w:pStyle w:val="a3"/>
              <w:rPr>
                <w:sz w:val="18"/>
                <w:szCs w:val="18"/>
              </w:rPr>
            </w:pPr>
            <w:r>
              <w:rPr>
                <w:sz w:val="18"/>
                <w:szCs w:val="18"/>
              </w:rPr>
              <w:t xml:space="preserve">корректированный </w:t>
            </w:r>
            <w:r>
              <w:rPr>
                <w:sz w:val="18"/>
                <w:szCs w:val="18"/>
              </w:rPr>
              <w:t xml:space="preserve">на среднее </w:t>
            </w:r>
            <w:r w:rsidR="00862BD0">
              <w:rPr>
                <w:noProof/>
                <w:position w:val="-8"/>
                <w:sz w:val="18"/>
                <w:szCs w:val="18"/>
              </w:rPr>
              <w:drawing>
                <wp:inline distT="0" distB="0" distL="0" distR="0">
                  <wp:extent cx="152400" cy="200025"/>
                  <wp:effectExtent l="0" t="0" r="0" b="9525"/>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52400" cy="200025"/>
                          </a:xfrm>
                          <a:prstGeom prst="rect">
                            <a:avLst/>
                          </a:prstGeom>
                          <a:noFill/>
                          <a:ln>
                            <a:noFill/>
                          </a:ln>
                        </pic:spPr>
                      </pic:pic>
                    </a:graphicData>
                  </a:graphic>
                </wp:inline>
              </w:drawing>
            </w:r>
          </w:p>
        </w:tc>
        <w:tc>
          <w:tcPr>
            <w:tcW w:w="1575"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i/>
                <w:iCs/>
                <w:sz w:val="18"/>
                <w:szCs w:val="18"/>
              </w:rPr>
              <w:t>n</w:t>
            </w:r>
            <w:r>
              <w:rPr>
                <w:sz w:val="18"/>
                <w:szCs w:val="18"/>
              </w:rPr>
              <w:t xml:space="preserve">-1 </w:t>
            </w:r>
          </w:p>
        </w:tc>
        <w:tc>
          <w:tcPr>
            <w:tcW w:w="2205"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862BD0">
            <w:pPr>
              <w:pStyle w:val="a3"/>
              <w:jc w:val="center"/>
              <w:rPr>
                <w:sz w:val="18"/>
                <w:szCs w:val="18"/>
              </w:rPr>
            </w:pPr>
            <w:r>
              <w:rPr>
                <w:noProof/>
                <w:position w:val="-17"/>
                <w:sz w:val="18"/>
                <w:szCs w:val="18"/>
              </w:rPr>
              <w:drawing>
                <wp:inline distT="0" distB="0" distL="0" distR="0">
                  <wp:extent cx="723900" cy="428625"/>
                  <wp:effectExtent l="0" t="0" r="0" b="9525"/>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723900" cy="428625"/>
                          </a:xfrm>
                          <a:prstGeom prst="rect">
                            <a:avLst/>
                          </a:prstGeom>
                          <a:noFill/>
                          <a:ln>
                            <a:noFill/>
                          </a:ln>
                        </pic:spPr>
                      </pic:pic>
                    </a:graphicData>
                  </a:graphic>
                </wp:inline>
              </w:drawing>
            </w:r>
          </w:p>
        </w:tc>
        <w:tc>
          <w:tcPr>
            <w:tcW w:w="1785"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5829C2">
            <w:pPr>
              <w:pStyle w:val="a3"/>
              <w:rPr>
                <w:sz w:val="18"/>
                <w:szCs w:val="18"/>
              </w:rPr>
            </w:pPr>
            <w:r>
              <w:rPr>
                <w:sz w:val="18"/>
                <w:szCs w:val="18"/>
              </w:rPr>
              <w:t xml:space="preserve">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829C2">
            <w:pPr>
              <w:pStyle w:val="a3"/>
              <w:rPr>
                <w:sz w:val="18"/>
                <w:szCs w:val="18"/>
              </w:rPr>
            </w:pPr>
            <w:r>
              <w:rPr>
                <w:sz w:val="18"/>
                <w:szCs w:val="18"/>
              </w:rPr>
              <w:t xml:space="preserve">  </w:t>
            </w:r>
          </w:p>
        </w:tc>
      </w:tr>
    </w:tbl>
    <w:p w:rsidR="00000000" w:rsidRDefault="005829C2">
      <w:pPr>
        <w:pStyle w:val="a3"/>
      </w:pPr>
    </w:p>
    <w:p w:rsidR="00000000" w:rsidRDefault="005829C2">
      <w:pPr>
        <w:pStyle w:val="FORMATTEXT"/>
        <w:ind w:firstLine="568"/>
        <w:jc w:val="both"/>
      </w:pPr>
      <w:r>
        <w:t xml:space="preserve">Средний квадрат вследствие регрессии часто обозначается как </w:t>
      </w:r>
      <w:r>
        <w:rPr>
          <w:i/>
          <w:iCs/>
        </w:rPr>
        <w:t>SS</w:t>
      </w:r>
      <w:r>
        <w:t xml:space="preserve"> (</w:t>
      </w:r>
      <w:r w:rsidR="00862BD0">
        <w:rPr>
          <w:noProof/>
          <w:position w:val="-10"/>
        </w:rPr>
        <w:drawing>
          <wp:inline distT="0" distB="0" distL="0" distR="0">
            <wp:extent cx="381000" cy="228600"/>
            <wp:effectExtent l="0" t="0" r="0"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81000" cy="228600"/>
                    </a:xfrm>
                    <a:prstGeom prst="rect">
                      <a:avLst/>
                    </a:prstGeom>
                    <a:noFill/>
                    <a:ln>
                      <a:noFill/>
                    </a:ln>
                  </pic:spPr>
                </pic:pic>
              </a:graphicData>
            </a:graphic>
          </wp:inline>
        </w:drawing>
      </w:r>
      <w:r>
        <w:t xml:space="preserve">) и излагается в следующей редакции: "сумма квадратов для </w:t>
      </w:r>
      <w:r>
        <w:rPr>
          <w:i/>
          <w:iCs/>
        </w:rPr>
        <w:t>b</w:t>
      </w:r>
      <w:r w:rsidR="00862BD0">
        <w:rPr>
          <w:noProof/>
          <w:position w:val="-9"/>
        </w:rPr>
        <w:drawing>
          <wp:inline distT="0" distB="0" distL="0" distR="0">
            <wp:extent cx="85725" cy="219075"/>
            <wp:effectExtent l="0" t="0" r="9525" b="9525"/>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t xml:space="preserve"> после введения поправки на </w:t>
      </w:r>
      <w:r>
        <w:rPr>
          <w:i/>
          <w:iCs/>
        </w:rPr>
        <w:t>b</w:t>
      </w:r>
      <w:r w:rsidR="00862BD0">
        <w:rPr>
          <w:noProof/>
          <w:position w:val="-10"/>
        </w:rPr>
        <w:drawing>
          <wp:inline distT="0" distB="0" distL="0" distR="0">
            <wp:extent cx="104775" cy="228600"/>
            <wp:effectExtent l="0" t="0" r="9525"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04775" cy="228600"/>
                    </a:xfrm>
                    <a:prstGeom prst="rect">
                      <a:avLst/>
                    </a:prstGeom>
                    <a:noFill/>
                    <a:ln>
                      <a:noFill/>
                    </a:ln>
                  </pic:spPr>
                </pic:pic>
              </a:graphicData>
            </a:graphic>
          </wp:inline>
        </w:drawing>
      </w:r>
      <w:r>
        <w:t xml:space="preserve">". Средний квадрат относительно регрессии </w:t>
      </w:r>
      <w:r>
        <w:rPr>
          <w:i/>
          <w:iCs/>
        </w:rPr>
        <w:t>s</w:t>
      </w:r>
      <w:r w:rsidR="00862BD0">
        <w:rPr>
          <w:noProof/>
          <w:position w:val="-9"/>
        </w:rPr>
        <w:drawing>
          <wp:inline distT="0" distB="0" distL="0" distR="0">
            <wp:extent cx="104775" cy="219075"/>
            <wp:effectExtent l="0" t="0" r="9525" b="9525"/>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t xml:space="preserve"> - это оценка показателя, которая обозначается </w:t>
      </w:r>
      <w:r w:rsidR="00862BD0">
        <w:rPr>
          <w:noProof/>
          <w:position w:val="-10"/>
        </w:rPr>
        <w:drawing>
          <wp:inline distT="0" distB="0" distL="0" distR="0">
            <wp:extent cx="371475" cy="238125"/>
            <wp:effectExtent l="0" t="0" r="9525" b="9525"/>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71475" cy="238125"/>
                    </a:xfrm>
                    <a:prstGeom prst="rect">
                      <a:avLst/>
                    </a:prstGeom>
                    <a:noFill/>
                    <a:ln>
                      <a:noFill/>
                    </a:ln>
                  </pic:spPr>
                </pic:pic>
              </a:graphicData>
            </a:graphic>
          </wp:inline>
        </w:drawing>
      </w:r>
      <w:r>
        <w:t>и называется дисперсией относительно регрессии.</w:t>
      </w:r>
    </w:p>
    <w:p w:rsidR="00000000" w:rsidRDefault="005829C2">
      <w:pPr>
        <w:pStyle w:val="FORMATTEXT"/>
        <w:ind w:firstLine="568"/>
        <w:jc w:val="both"/>
      </w:pPr>
    </w:p>
    <w:p w:rsidR="00000000" w:rsidRDefault="005829C2">
      <w:pPr>
        <w:pStyle w:val="FORMATTEXT"/>
        <w:ind w:firstLine="568"/>
        <w:jc w:val="both"/>
      </w:pPr>
      <w:r>
        <w:t>Используя </w:t>
      </w:r>
      <w:r>
        <w:rPr>
          <w:i/>
          <w:iCs/>
        </w:rPr>
        <w:t>F</w:t>
      </w:r>
      <w:r>
        <w:t xml:space="preserve"> из таблицы 1, можно также исследовать на значимость отношение </w:t>
      </w:r>
      <w:proofErr w:type="gramStart"/>
      <w:r>
        <w:rPr>
          <w:i/>
          <w:iCs/>
        </w:rPr>
        <w:t>MS</w:t>
      </w:r>
      <w:r w:rsidR="00862BD0">
        <w:rPr>
          <w:noProof/>
          <w:position w:val="-10"/>
        </w:rPr>
        <w:drawing>
          <wp:inline distT="0" distB="0" distL="0" distR="0">
            <wp:extent cx="200025" cy="238125"/>
            <wp:effectExtent l="0" t="0" r="9525" b="9525"/>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t>:</w:t>
      </w:r>
      <w:r>
        <w:rPr>
          <w:i/>
          <w:iCs/>
        </w:rPr>
        <w:t>s</w:t>
      </w:r>
      <w:proofErr w:type="gramEnd"/>
      <w:r w:rsidR="00862BD0">
        <w:rPr>
          <w:noProof/>
          <w:position w:val="-9"/>
        </w:rPr>
        <w:drawing>
          <wp:inline distT="0" distB="0" distL="0" distR="0">
            <wp:extent cx="104775" cy="219075"/>
            <wp:effectExtent l="0" t="0" r="9525" b="9525"/>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t xml:space="preserve">. В таблице 1 приведена необходимая информация о степени свободы. Преимущество использования </w:t>
      </w:r>
      <w:r>
        <w:rPr>
          <w:i/>
          <w:iCs/>
        </w:rPr>
        <w:t>F</w:t>
      </w:r>
      <w:r>
        <w:t xml:space="preserve"> таблицы 1 взамен метода с использованием </w:t>
      </w:r>
      <w:r>
        <w:rPr>
          <w:i/>
          <w:iCs/>
        </w:rPr>
        <w:t>t</w:t>
      </w:r>
      <w:r>
        <w:t>-критерия заключается в следующем:</w:t>
      </w:r>
    </w:p>
    <w:p w:rsidR="00000000" w:rsidRDefault="005829C2">
      <w:pPr>
        <w:pStyle w:val="FORMATTEXT"/>
        <w:ind w:firstLine="568"/>
        <w:jc w:val="both"/>
      </w:pPr>
    </w:p>
    <w:p w:rsidR="00000000" w:rsidRDefault="005829C2">
      <w:pPr>
        <w:pStyle w:val="FORMATTEXT"/>
        <w:ind w:firstLine="568"/>
        <w:jc w:val="both"/>
      </w:pPr>
      <w:r>
        <w:t>- </w:t>
      </w:r>
      <w:r>
        <w:rPr>
          <w:i/>
          <w:iCs/>
        </w:rPr>
        <w:t>F</w:t>
      </w:r>
      <w:r>
        <w:t>-таблиц</w:t>
      </w:r>
      <w:r>
        <w:t>а создается большинством систем программного обеспечения по умолчанию;</w:t>
      </w:r>
    </w:p>
    <w:p w:rsidR="00000000" w:rsidRDefault="005829C2">
      <w:pPr>
        <w:pStyle w:val="FORMATTEXT"/>
        <w:ind w:firstLine="568"/>
        <w:jc w:val="both"/>
      </w:pPr>
    </w:p>
    <w:p w:rsidR="00000000" w:rsidRDefault="005829C2">
      <w:pPr>
        <w:pStyle w:val="FORMATTEXT"/>
        <w:ind w:firstLine="568"/>
        <w:jc w:val="both"/>
      </w:pPr>
      <w:r>
        <w:t>- </w:t>
      </w:r>
      <w:r>
        <w:rPr>
          <w:i/>
          <w:iCs/>
        </w:rPr>
        <w:t>F</w:t>
      </w:r>
      <w:r>
        <w:t>-таблицу можно перенести на другие модели регрессии, что делает ее широко применимой.</w:t>
      </w:r>
    </w:p>
    <w:p w:rsidR="00000000" w:rsidRDefault="005829C2">
      <w:pPr>
        <w:pStyle w:val="FORMATTEXT"/>
        <w:ind w:firstLine="568"/>
        <w:jc w:val="both"/>
      </w:pPr>
    </w:p>
    <w:p w:rsidR="00000000" w:rsidRDefault="005829C2">
      <w:pPr>
        <w:pStyle w:val="FORMATTEXT"/>
        <w:ind w:firstLine="568"/>
        <w:jc w:val="both"/>
      </w:pPr>
      <w:r>
        <w:t>Независимо от того, какой вид критерия использован, следует отметить, что вывод будет иметь зн</w:t>
      </w:r>
      <w:r>
        <w:t xml:space="preserve">ачение только в том случае, если стандартное отклонение повторяемости измерений, возможно, вместе с </w:t>
      </w:r>
      <w:proofErr w:type="spellStart"/>
      <w:r>
        <w:t>межэкземплярной</w:t>
      </w:r>
      <w:proofErr w:type="spellEnd"/>
      <w:r>
        <w:t xml:space="preserve"> неоднородностью достаточно малы. Можно продемонстрировать, что если стандартное отклонение повторяемости сравнимо со стандартным отклонением</w:t>
      </w:r>
      <w:r>
        <w:t xml:space="preserve"> от неоднородности и от </w:t>
      </w:r>
      <w:proofErr w:type="spellStart"/>
      <w:r>
        <w:t>характеризации</w:t>
      </w:r>
      <w:proofErr w:type="spellEnd"/>
      <w:r>
        <w:t xml:space="preserve"> образца (например, определения значения параметра), то это требование выполнено в отношении повторяемости измерений. Влияние </w:t>
      </w:r>
      <w:proofErr w:type="spellStart"/>
      <w:r>
        <w:t>межэкземплярной</w:t>
      </w:r>
      <w:proofErr w:type="spellEnd"/>
      <w:r>
        <w:t xml:space="preserve"> неоднородности можно уменьшить, если взять большое число экземпляров для каж</w:t>
      </w:r>
      <w:r>
        <w:t xml:space="preserve">дого момента времени (для каждого эксперимента). Такой подход необходим, когда </w:t>
      </w:r>
      <w:r>
        <w:rPr>
          <w:i/>
          <w:iCs/>
        </w:rPr>
        <w:t>s</w:t>
      </w:r>
      <w:r w:rsidR="00862BD0">
        <w:rPr>
          <w:noProof/>
          <w:position w:val="-10"/>
        </w:rPr>
        <w:drawing>
          <wp:inline distT="0" distB="0" distL="0" distR="0">
            <wp:extent cx="161925" cy="228600"/>
            <wp:effectExtent l="0" t="0" r="9525" b="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равно или больше, чем повторяемость измерений. Если наблюдается тренд, это обычно означает, что материал не может быть сертифицирован (аттес</w:t>
      </w:r>
      <w:r>
        <w:t>тован). Критерий для принятия такого решения должен быть основан на (ожидаемой) неопределенности, связанной со значением параметра СО, (желаемом) сроке его хранения и тренде за этот период времени. Если в течение (желаемого) срока хранения наблюдается знач</w:t>
      </w:r>
      <w:r>
        <w:t>ительный тренд в отношении неопределенности, связанной со значением параметра СО, тогда либо материал не может быть сертифицирован (аттестован) в связи с недостаточной стабильностью, либо следует сократить срок его хранения.</w:t>
      </w:r>
    </w:p>
    <w:p w:rsidR="00000000" w:rsidRDefault="005829C2">
      <w:pPr>
        <w:pStyle w:val="FORMATTEXT"/>
        <w:ind w:firstLine="568"/>
        <w:jc w:val="both"/>
      </w:pPr>
    </w:p>
    <w:p w:rsidR="00000000" w:rsidRDefault="005829C2">
      <w:pPr>
        <w:pStyle w:val="FORMATTEXT"/>
        <w:ind w:firstLine="568"/>
        <w:jc w:val="both"/>
      </w:pPr>
      <w:r>
        <w:rPr>
          <w:b/>
          <w:bCs/>
        </w:rPr>
        <w:t xml:space="preserve">8.3.2 Оценка неопределенности </w:t>
      </w:r>
      <w:r>
        <w:rPr>
          <w:b/>
          <w:bCs/>
        </w:rPr>
        <w:t>в отсутствие тренда</w:t>
      </w:r>
    </w:p>
    <w:p w:rsidR="00000000" w:rsidRDefault="005829C2">
      <w:pPr>
        <w:pStyle w:val="FORMATTEXT"/>
        <w:ind w:firstLine="568"/>
        <w:jc w:val="both"/>
      </w:pPr>
    </w:p>
    <w:p w:rsidR="00000000" w:rsidRDefault="005829C2">
      <w:pPr>
        <w:pStyle w:val="FORMATTEXT"/>
        <w:ind w:firstLine="568"/>
        <w:jc w:val="both"/>
      </w:pPr>
      <w:r>
        <w:t>Исследование стабильности включает следующие составляющие неопределенности:</w:t>
      </w:r>
    </w:p>
    <w:p w:rsidR="00000000" w:rsidRDefault="005829C2">
      <w:pPr>
        <w:pStyle w:val="FORMATTEXT"/>
        <w:ind w:firstLine="568"/>
        <w:jc w:val="both"/>
      </w:pPr>
    </w:p>
    <w:p w:rsidR="00000000" w:rsidRDefault="005829C2">
      <w:pPr>
        <w:pStyle w:val="FORMATTEXT"/>
        <w:ind w:firstLine="568"/>
        <w:jc w:val="both"/>
      </w:pPr>
      <w:r>
        <w:t>- повторяемость измерений;</w:t>
      </w:r>
    </w:p>
    <w:p w:rsidR="00000000" w:rsidRDefault="005829C2">
      <w:pPr>
        <w:pStyle w:val="FORMATTEXT"/>
        <w:ind w:firstLine="568"/>
        <w:jc w:val="both"/>
      </w:pPr>
    </w:p>
    <w:p w:rsidR="00000000" w:rsidRDefault="005829C2">
      <w:pPr>
        <w:pStyle w:val="FORMATTEXT"/>
        <w:ind w:firstLine="568"/>
        <w:jc w:val="both"/>
      </w:pPr>
      <w:r>
        <w:t>- нестабильность материала;</w:t>
      </w:r>
    </w:p>
    <w:p w:rsidR="00000000" w:rsidRDefault="005829C2">
      <w:pPr>
        <w:pStyle w:val="FORMATTEXT"/>
        <w:ind w:firstLine="568"/>
        <w:jc w:val="both"/>
      </w:pPr>
    </w:p>
    <w:p w:rsidR="00000000" w:rsidRDefault="005829C2">
      <w:pPr>
        <w:pStyle w:val="FORMATTEXT"/>
        <w:ind w:firstLine="568"/>
        <w:jc w:val="both"/>
      </w:pPr>
      <w:r>
        <w:t>- нестабильность измерительной системы (в классическом плане эксперимента);</w:t>
      </w:r>
    </w:p>
    <w:p w:rsidR="00000000" w:rsidRDefault="005829C2">
      <w:pPr>
        <w:pStyle w:val="FORMATTEXT"/>
        <w:ind w:firstLine="568"/>
        <w:jc w:val="both"/>
      </w:pPr>
    </w:p>
    <w:p w:rsidR="00000000" w:rsidRDefault="005829C2">
      <w:pPr>
        <w:pStyle w:val="FORMATTEXT"/>
        <w:ind w:firstLine="568"/>
        <w:jc w:val="both"/>
      </w:pPr>
      <w:r>
        <w:t xml:space="preserve">- аспекты </w:t>
      </w:r>
      <w:proofErr w:type="spellStart"/>
      <w:r>
        <w:t>воспроизводимо</w:t>
      </w:r>
      <w:r>
        <w:t>сти</w:t>
      </w:r>
      <w:proofErr w:type="spellEnd"/>
      <w:r>
        <w:t xml:space="preserve"> (например, оператор, оборудование), включая градуировку (в классическом плане эксперимента);</w:t>
      </w:r>
    </w:p>
    <w:p w:rsidR="00000000" w:rsidRDefault="005829C2">
      <w:pPr>
        <w:pStyle w:val="FORMATTEXT"/>
        <w:ind w:firstLine="568"/>
        <w:jc w:val="both"/>
      </w:pPr>
    </w:p>
    <w:p w:rsidR="00000000" w:rsidRDefault="005829C2">
      <w:pPr>
        <w:pStyle w:val="FORMATTEXT"/>
        <w:ind w:firstLine="568"/>
        <w:jc w:val="both"/>
      </w:pPr>
      <w:r>
        <w:t>- </w:t>
      </w:r>
      <w:proofErr w:type="spellStart"/>
      <w:r>
        <w:t>межэкземплярная</w:t>
      </w:r>
      <w:proofErr w:type="spellEnd"/>
      <w:r>
        <w:t xml:space="preserve"> однородность [при сертификации (аттестации) партии].</w:t>
      </w:r>
    </w:p>
    <w:p w:rsidR="00000000" w:rsidRDefault="005829C2">
      <w:pPr>
        <w:pStyle w:val="FORMATTEXT"/>
        <w:ind w:firstLine="568"/>
        <w:jc w:val="both"/>
      </w:pPr>
    </w:p>
    <w:p w:rsidR="00000000" w:rsidRDefault="005829C2">
      <w:pPr>
        <w:pStyle w:val="FORMATTEXT"/>
        <w:ind w:firstLine="568"/>
        <w:jc w:val="both"/>
      </w:pPr>
      <w:r>
        <w:t>Из этого перечня видно, что там, где возможно, следует использовать изохронный, а не к</w:t>
      </w:r>
      <w:r>
        <w:t>лассический план эксперимента, так как он уменьшает число составляющих, которые необходимо рассмотреть. В типичном изохронном исследовании стабильности остаются только три составляющих неопределенности, которые можно разделить с помощью полного двухфакторн</w:t>
      </w:r>
      <w:r>
        <w:t>ого анализа дисперсии [20], [23]. Неопределенность отдельного измерения в таком эксперименте можно выразить в виде:</w:t>
      </w:r>
    </w:p>
    <w:p w:rsidR="00000000" w:rsidRDefault="005829C2">
      <w:pPr>
        <w:pStyle w:val="FORMATTEXT"/>
        <w:ind w:firstLine="568"/>
        <w:jc w:val="both"/>
      </w:pPr>
    </w:p>
    <w:p w:rsidR="00000000" w:rsidRDefault="00862BD0">
      <w:pPr>
        <w:pStyle w:val="FORMATTEXT"/>
        <w:jc w:val="right"/>
      </w:pPr>
      <w:r>
        <w:rPr>
          <w:noProof/>
          <w:position w:val="-11"/>
        </w:rPr>
        <w:drawing>
          <wp:inline distT="0" distB="0" distL="0" distR="0">
            <wp:extent cx="1552575" cy="276225"/>
            <wp:effectExtent l="0" t="0" r="9525" b="9525"/>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552575" cy="276225"/>
                    </a:xfrm>
                    <a:prstGeom prst="rect">
                      <a:avLst/>
                    </a:prstGeom>
                    <a:noFill/>
                    <a:ln>
                      <a:noFill/>
                    </a:ln>
                  </pic:spPr>
                </pic:pic>
              </a:graphicData>
            </a:graphic>
          </wp:inline>
        </w:drawing>
      </w:r>
      <w:r w:rsidR="005829C2">
        <w:t xml:space="preserve">,                                                       (14) </w:t>
      </w:r>
    </w:p>
    <w:p w:rsidR="00000000" w:rsidRDefault="005829C2">
      <w:pPr>
        <w:pStyle w:val="FORMATTEXT"/>
        <w:jc w:val="both"/>
      </w:pPr>
    </w:p>
    <w:p w:rsidR="00000000" w:rsidRDefault="005829C2">
      <w:pPr>
        <w:pStyle w:val="FORMATTEXT"/>
        <w:jc w:val="both"/>
      </w:pPr>
    </w:p>
    <w:p w:rsidR="00000000" w:rsidRDefault="005829C2">
      <w:pPr>
        <w:pStyle w:val="FORMATTEXT"/>
        <w:jc w:val="both"/>
      </w:pPr>
      <w:r>
        <w:t xml:space="preserve">где </w:t>
      </w:r>
      <w:r>
        <w:rPr>
          <w:i/>
          <w:iCs/>
        </w:rPr>
        <w:t>s</w:t>
      </w:r>
      <w:r w:rsidR="00862BD0">
        <w:rPr>
          <w:noProof/>
          <w:position w:val="-10"/>
        </w:rPr>
        <w:drawing>
          <wp:inline distT="0" distB="0" distL="0" distR="0">
            <wp:extent cx="228600" cy="228600"/>
            <wp:effectExtent l="0" t="0" r="0" b="0"/>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t xml:space="preserve"> - стандартное отклонение, вызванное нестабильностью, </w:t>
      </w:r>
      <w:r>
        <w:rPr>
          <w:i/>
          <w:iCs/>
        </w:rPr>
        <w:t>s</w:t>
      </w:r>
      <w:r w:rsidR="00862BD0">
        <w:rPr>
          <w:noProof/>
          <w:position w:val="-10"/>
        </w:rPr>
        <w:drawing>
          <wp:inline distT="0" distB="0" distL="0" distR="0">
            <wp:extent cx="161925" cy="228600"/>
            <wp:effectExtent l="0" t="0" r="9525" b="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обозначает стандартное </w:t>
      </w:r>
      <w:r>
        <w:lastRenderedPageBreak/>
        <w:t xml:space="preserve">отклонение между экземплярами и </w:t>
      </w:r>
      <w:r>
        <w:rPr>
          <w:i/>
          <w:iCs/>
        </w:rPr>
        <w:t>s</w:t>
      </w:r>
      <w:r w:rsidR="00862BD0">
        <w:rPr>
          <w:noProof/>
          <w:position w:val="-9"/>
        </w:rPr>
        <w:drawing>
          <wp:inline distT="0" distB="0" distL="0" distR="0">
            <wp:extent cx="85725" cy="219075"/>
            <wp:effectExtent l="0" t="0" r="9525" b="9525"/>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t xml:space="preserve"> - стандартное отклонение повторяемости. Индекс </w:t>
      </w:r>
      <w:r>
        <w:rPr>
          <w:i/>
          <w:iCs/>
        </w:rPr>
        <w:t>i</w:t>
      </w:r>
      <w:r>
        <w:t xml:space="preserve"> относится к моментам вр</w:t>
      </w:r>
      <w:r>
        <w:t xml:space="preserve">емени, </w:t>
      </w:r>
      <w:r>
        <w:rPr>
          <w:i/>
          <w:iCs/>
        </w:rPr>
        <w:t>j</w:t>
      </w:r>
      <w:r>
        <w:t xml:space="preserve"> - к экземплярам и </w:t>
      </w:r>
      <w:r>
        <w:rPr>
          <w:i/>
          <w:iCs/>
        </w:rPr>
        <w:t>k</w:t>
      </w:r>
      <w:r>
        <w:t xml:space="preserve"> - к повторным измерениям. </w:t>
      </w:r>
    </w:p>
    <w:p w:rsidR="00000000" w:rsidRDefault="005829C2">
      <w:pPr>
        <w:pStyle w:val="FORMATTEXT"/>
        <w:ind w:firstLine="568"/>
        <w:jc w:val="both"/>
      </w:pPr>
      <w:r>
        <w:t xml:space="preserve">Как и при исследовании однородности, качество оценки </w:t>
      </w:r>
      <w:r>
        <w:rPr>
          <w:i/>
          <w:iCs/>
        </w:rPr>
        <w:t>s</w:t>
      </w:r>
      <w:r w:rsidR="00862BD0">
        <w:rPr>
          <w:noProof/>
          <w:position w:val="-10"/>
        </w:rPr>
        <w:drawing>
          <wp:inline distT="0" distB="0" distL="0" distR="0">
            <wp:extent cx="228600" cy="228600"/>
            <wp:effectExtent l="0" t="0" r="0" b="0"/>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t xml:space="preserve"> зависит от </w:t>
      </w:r>
      <w:r>
        <w:rPr>
          <w:i/>
          <w:iCs/>
        </w:rPr>
        <w:t>s</w:t>
      </w:r>
      <w:r w:rsidR="00862BD0">
        <w:rPr>
          <w:noProof/>
          <w:position w:val="-10"/>
        </w:rPr>
        <w:drawing>
          <wp:inline distT="0" distB="0" distL="0" distR="0">
            <wp:extent cx="161925" cy="228600"/>
            <wp:effectExtent l="0" t="0" r="9525" b="0"/>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(и </w:t>
      </w:r>
      <w:r>
        <w:rPr>
          <w:i/>
          <w:iCs/>
        </w:rPr>
        <w:t>s</w:t>
      </w:r>
      <w:r w:rsidR="00862BD0">
        <w:rPr>
          <w:noProof/>
          <w:position w:val="-9"/>
        </w:rPr>
        <w:drawing>
          <wp:inline distT="0" distB="0" distL="0" distR="0">
            <wp:extent cx="85725" cy="219075"/>
            <wp:effectExtent l="0" t="0" r="9525" b="9525"/>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t xml:space="preserve">). Так, </w:t>
      </w:r>
      <w:proofErr w:type="spellStart"/>
      <w:r>
        <w:t>межэкземплярная</w:t>
      </w:r>
      <w:proofErr w:type="spellEnd"/>
      <w:r>
        <w:t xml:space="preserve"> однородность влияет на качество оценки нестабильности. Это неизбежно, т.к. это параметр дисперсионного анализа [20], [30]. Обработку результатов можно провести с помощью двухфакторного ANOVA, аналогично случаю, описанному в </w:t>
      </w:r>
      <w:r>
        <w:rPr>
          <w:i/>
          <w:iCs/>
        </w:rPr>
        <w:t>приложении</w:t>
      </w:r>
      <w:r>
        <w:t xml:space="preserve"> А.2. Следует отметит</w:t>
      </w:r>
      <w:r>
        <w:t xml:space="preserve">ь, что (по крайней мере в принципе) можно провести оценку </w:t>
      </w:r>
      <w:r>
        <w:rPr>
          <w:i/>
          <w:iCs/>
        </w:rPr>
        <w:t>s</w:t>
      </w:r>
      <w:r w:rsidR="00862BD0">
        <w:rPr>
          <w:noProof/>
          <w:position w:val="-10"/>
        </w:rPr>
        <w:drawing>
          <wp:inline distT="0" distB="0" distL="0" distR="0">
            <wp:extent cx="161925" cy="228600"/>
            <wp:effectExtent l="0" t="0" r="9525" b="0"/>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по результатам исследования стабильности [23]. Если исследование стабильности проходит при разных температурах, то часто </w:t>
      </w:r>
      <w:r>
        <w:rPr>
          <w:i/>
          <w:iCs/>
        </w:rPr>
        <w:t>s</w:t>
      </w:r>
      <w:r w:rsidR="00862BD0">
        <w:rPr>
          <w:noProof/>
          <w:position w:val="-10"/>
        </w:rPr>
        <w:drawing>
          <wp:inline distT="0" distB="0" distL="0" distR="0">
            <wp:extent cx="161925" cy="228600"/>
            <wp:effectExtent l="0" t="0" r="9525" b="0"/>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 </w:t>
      </w:r>
      <w:r>
        <w:t>оценка, полученная для опорной (исходной) температуры, будет наилучшей, т.к. для этой температуры допускается, что материал стабилен. Если при какой-либо температуре материал очевидно нестабилен, то изменения в этом материале могут повлиять на полученную о</w:t>
      </w:r>
      <w:r>
        <w:t xml:space="preserve">ценку </w:t>
      </w:r>
      <w:r>
        <w:rPr>
          <w:i/>
          <w:iCs/>
        </w:rPr>
        <w:t>s</w:t>
      </w:r>
      <w:r w:rsidR="00862BD0">
        <w:rPr>
          <w:noProof/>
          <w:position w:val="-10"/>
        </w:rPr>
        <w:drawing>
          <wp:inline distT="0" distB="0" distL="0" distR="0">
            <wp:extent cx="161925" cy="228600"/>
            <wp:effectExtent l="0" t="0" r="9525" b="0"/>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Pr>
          <w:i/>
          <w:iCs/>
        </w:rPr>
        <w:t>.</w:t>
      </w:r>
    </w:p>
    <w:p w:rsidR="00000000" w:rsidRDefault="005829C2">
      <w:pPr>
        <w:pStyle w:val="FORMATTEXT"/>
        <w:ind w:firstLine="568"/>
        <w:jc w:val="both"/>
      </w:pPr>
    </w:p>
    <w:p w:rsidR="00000000" w:rsidRDefault="005829C2">
      <w:pPr>
        <w:pStyle w:val="FORMATTEXT"/>
        <w:ind w:firstLine="568"/>
        <w:jc w:val="both"/>
      </w:pPr>
      <w:r>
        <w:t>Предполагается, что однородность и стабильность материала независимы друг от друга. Часто это справедливо, но могут быть исключения. В случаях значительной неоднородности между экземплярами можно также ожидать</w:t>
      </w:r>
      <w:r>
        <w:t>, что стабильность материала будет также отличаться от экземпляра к экземпляру, т.к. стабильность материала (наряду с другими факторами) зависит от его состава. Присутствие определенного дестабилизирующего компонента влияет на однородность всей партии и мо</w:t>
      </w:r>
      <w:r>
        <w:t>жет стать причиной для такой корреляции.</w:t>
      </w:r>
    </w:p>
    <w:p w:rsidR="00000000" w:rsidRDefault="005829C2">
      <w:pPr>
        <w:pStyle w:val="FORMATTEXT"/>
        <w:ind w:firstLine="568"/>
        <w:jc w:val="both"/>
      </w:pPr>
    </w:p>
    <w:p w:rsidR="00000000" w:rsidRDefault="005829C2">
      <w:pPr>
        <w:pStyle w:val="FORMATTEXT"/>
        <w:ind w:firstLine="568"/>
        <w:jc w:val="both"/>
      </w:pPr>
      <w:r>
        <w:t>В классическом плане эксперимента выражение неопределенности в повторном измерении выглядит следующим образом:</w:t>
      </w:r>
    </w:p>
    <w:p w:rsidR="00000000" w:rsidRDefault="005829C2">
      <w:pPr>
        <w:pStyle w:val="FORMATTEXT"/>
        <w:ind w:firstLine="568"/>
        <w:jc w:val="both"/>
      </w:pPr>
    </w:p>
    <w:p w:rsidR="00000000" w:rsidRDefault="00862BD0">
      <w:pPr>
        <w:pStyle w:val="FORMATTEXT"/>
        <w:jc w:val="right"/>
      </w:pPr>
      <w:r>
        <w:rPr>
          <w:noProof/>
          <w:position w:val="-11"/>
        </w:rPr>
        <w:drawing>
          <wp:inline distT="0" distB="0" distL="0" distR="0">
            <wp:extent cx="1857375" cy="276225"/>
            <wp:effectExtent l="0" t="0" r="9525" b="9525"/>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857375" cy="276225"/>
                    </a:xfrm>
                    <a:prstGeom prst="rect">
                      <a:avLst/>
                    </a:prstGeom>
                    <a:noFill/>
                    <a:ln>
                      <a:noFill/>
                    </a:ln>
                  </pic:spPr>
                </pic:pic>
              </a:graphicData>
            </a:graphic>
          </wp:inline>
        </w:drawing>
      </w:r>
      <w:r w:rsidR="005829C2">
        <w:t xml:space="preserve">,                                                   (15) </w:t>
      </w:r>
    </w:p>
    <w:p w:rsidR="00000000" w:rsidRDefault="005829C2">
      <w:pPr>
        <w:pStyle w:val="FORMATTEXT"/>
        <w:jc w:val="both"/>
      </w:pPr>
    </w:p>
    <w:p w:rsidR="00000000" w:rsidRDefault="005829C2">
      <w:pPr>
        <w:pStyle w:val="FORMATTEXT"/>
        <w:jc w:val="both"/>
      </w:pPr>
    </w:p>
    <w:p w:rsidR="00000000" w:rsidRDefault="005829C2">
      <w:pPr>
        <w:pStyle w:val="FORMATTEXT"/>
        <w:jc w:val="both"/>
      </w:pPr>
      <w:r>
        <w:t>где доб</w:t>
      </w:r>
      <w:r>
        <w:t xml:space="preserve">авлен один член </w:t>
      </w:r>
      <w:r>
        <w:rPr>
          <w:i/>
          <w:iCs/>
        </w:rPr>
        <w:t>s</w:t>
      </w:r>
      <w:r w:rsidR="00862BD0">
        <w:rPr>
          <w:noProof/>
          <w:position w:val="-11"/>
        </w:rPr>
        <w:drawing>
          <wp:inline distT="0" distB="0" distL="0" distR="0">
            <wp:extent cx="180975" cy="266700"/>
            <wp:effectExtent l="0" t="0" r="9525" b="0"/>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80975" cy="266700"/>
                    </a:xfrm>
                    <a:prstGeom prst="rect">
                      <a:avLst/>
                    </a:prstGeom>
                    <a:noFill/>
                    <a:ln>
                      <a:noFill/>
                    </a:ln>
                  </pic:spPr>
                </pic:pic>
              </a:graphicData>
            </a:graphic>
          </wp:inline>
        </w:drawing>
      </w:r>
      <w:r>
        <w:t xml:space="preserve"> - дисперсия вследствие недостаточной повторяемости</w:t>
      </w:r>
      <w:r w:rsidR="00862BD0">
        <w:rPr>
          <w:noProof/>
          <w:position w:val="-9"/>
        </w:rPr>
        <w:drawing>
          <wp:inline distT="0" distB="0" distL="0" distR="0">
            <wp:extent cx="85725" cy="219075"/>
            <wp:effectExtent l="0" t="0" r="9525" b="9525"/>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t>. Этот член представляет стабильность измерительной системы. Измерения в классическом исследовании стабильности выпол</w:t>
      </w:r>
      <w:r>
        <w:t>няют в условиях (</w:t>
      </w:r>
      <w:proofErr w:type="spellStart"/>
      <w:r>
        <w:t>внутрилабораторной</w:t>
      </w:r>
      <w:proofErr w:type="spellEnd"/>
      <w:r>
        <w:t xml:space="preserve">) </w:t>
      </w:r>
      <w:proofErr w:type="spellStart"/>
      <w:r>
        <w:t>воспроизводимости</w:t>
      </w:r>
      <w:proofErr w:type="spellEnd"/>
      <w:r>
        <w:t xml:space="preserve">, что ведет к невозможности разделения стабильности измерительной системы и исходного материала СО. В результате неопределенность нестабильности будет всегда больше в классическом плане эксперимента по </w:t>
      </w:r>
      <w:r>
        <w:t>сравнению с изохронным.</w:t>
      </w:r>
    </w:p>
    <w:p w:rsidR="00000000" w:rsidRDefault="005829C2">
      <w:pPr>
        <w:pStyle w:val="FORMATTEXT"/>
        <w:jc w:val="both"/>
      </w:pPr>
      <w:r>
        <w:t xml:space="preserve">________________ </w:t>
      </w:r>
    </w:p>
    <w:p w:rsidR="00000000" w:rsidRDefault="00862BD0">
      <w:pPr>
        <w:pStyle w:val="FORMATTEXT"/>
        <w:ind w:firstLine="568"/>
        <w:jc w:val="both"/>
      </w:pPr>
      <w:r>
        <w:rPr>
          <w:noProof/>
          <w:position w:val="-9"/>
        </w:rPr>
        <w:drawing>
          <wp:inline distT="0" distB="0" distL="0" distR="0">
            <wp:extent cx="85725" cy="219075"/>
            <wp:effectExtent l="0" t="0" r="9525" b="9525"/>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rsidR="005829C2">
        <w:t xml:space="preserve">Недостаточная повторяемость означает, что существует влияние </w:t>
      </w:r>
      <w:proofErr w:type="spellStart"/>
      <w:r w:rsidR="005829C2">
        <w:t>воспроизводимости</w:t>
      </w:r>
      <w:proofErr w:type="spellEnd"/>
      <w:r w:rsidR="005829C2">
        <w:t xml:space="preserve"> между моментами времени в дополнение к повторяемости измерения.</w:t>
      </w:r>
    </w:p>
    <w:p w:rsidR="00000000" w:rsidRDefault="005829C2">
      <w:pPr>
        <w:pStyle w:val="FORMATTEXT"/>
        <w:ind w:firstLine="568"/>
        <w:jc w:val="both"/>
      </w:pPr>
    </w:p>
    <w:p w:rsidR="00000000" w:rsidRDefault="005829C2">
      <w:pPr>
        <w:pStyle w:val="FORMATTEXT"/>
        <w:ind w:firstLine="568"/>
        <w:jc w:val="both"/>
      </w:pPr>
      <w:r>
        <w:t>Еще один вариант состоит в оценке н</w:t>
      </w:r>
      <w:r>
        <w:t>еопределенности стабильности через неопределенность линии регрессии с наклоном, равным нулю [16]. Этот подход дает "осторожную" оценку возможной деградации материала.</w:t>
      </w:r>
    </w:p>
    <w:p w:rsidR="00000000" w:rsidRDefault="005829C2">
      <w:pPr>
        <w:pStyle w:val="FORMATTEXT"/>
        <w:ind w:firstLine="568"/>
        <w:jc w:val="both"/>
      </w:pPr>
    </w:p>
    <w:p w:rsidR="00000000" w:rsidRDefault="005829C2">
      <w:pPr>
        <w:pStyle w:val="FORMATTEXT"/>
        <w:ind w:firstLine="568"/>
        <w:jc w:val="both"/>
      </w:pPr>
      <w:r>
        <w:t>Различные бюджеты неопределенности (</w:t>
      </w:r>
      <w:r>
        <w:rPr>
          <w:i/>
          <w:iCs/>
        </w:rPr>
        <w:t>s</w:t>
      </w:r>
      <w:r w:rsidR="00862BD0">
        <w:rPr>
          <w:noProof/>
          <w:position w:val="-11"/>
        </w:rPr>
        <w:drawing>
          <wp:inline distT="0" distB="0" distL="0" distR="0">
            <wp:extent cx="228600" cy="266700"/>
            <wp:effectExtent l="0" t="0" r="0" b="0"/>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28600" cy="266700"/>
                    </a:xfrm>
                    <a:prstGeom prst="rect">
                      <a:avLst/>
                    </a:prstGeom>
                    <a:noFill/>
                    <a:ln>
                      <a:noFill/>
                    </a:ln>
                  </pic:spPr>
                </pic:pic>
              </a:graphicData>
            </a:graphic>
          </wp:inline>
        </w:drawing>
      </w:r>
      <w:r>
        <w:t xml:space="preserve">, </w:t>
      </w:r>
      <w:r>
        <w:rPr>
          <w:i/>
          <w:iCs/>
        </w:rPr>
        <w:t>s</w:t>
      </w:r>
      <w:r w:rsidR="00862BD0">
        <w:rPr>
          <w:noProof/>
          <w:position w:val="-11"/>
        </w:rPr>
        <w:drawing>
          <wp:inline distT="0" distB="0" distL="0" distR="0">
            <wp:extent cx="161925" cy="266700"/>
            <wp:effectExtent l="0" t="0" r="9525" b="0"/>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61925" cy="266700"/>
                    </a:xfrm>
                    <a:prstGeom prst="rect">
                      <a:avLst/>
                    </a:prstGeom>
                    <a:noFill/>
                    <a:ln>
                      <a:noFill/>
                    </a:ln>
                  </pic:spPr>
                </pic:pic>
              </a:graphicData>
            </a:graphic>
          </wp:inline>
        </w:drawing>
      </w:r>
      <w:r>
        <w:t xml:space="preserve">, </w:t>
      </w:r>
      <w:r>
        <w:rPr>
          <w:i/>
          <w:iCs/>
        </w:rPr>
        <w:t>s</w:t>
      </w:r>
      <w:r w:rsidR="00862BD0">
        <w:rPr>
          <w:noProof/>
          <w:position w:val="-11"/>
        </w:rPr>
        <w:drawing>
          <wp:inline distT="0" distB="0" distL="0" distR="0">
            <wp:extent cx="104775" cy="257175"/>
            <wp:effectExtent l="0" t="0" r="9525" b="9525"/>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04775" cy="257175"/>
                    </a:xfrm>
                    <a:prstGeom prst="rect">
                      <a:avLst/>
                    </a:prstGeom>
                    <a:noFill/>
                    <a:ln>
                      <a:noFill/>
                    </a:ln>
                  </pic:spPr>
                </pic:pic>
              </a:graphicData>
            </a:graphic>
          </wp:inline>
        </w:drawing>
      </w:r>
      <w:r>
        <w:t>) можно определить из соответствующих средних квадратов (</w:t>
      </w:r>
      <w:r>
        <w:rPr>
          <w:i/>
          <w:iCs/>
        </w:rPr>
        <w:t>M</w:t>
      </w:r>
      <w:r>
        <w:t>). В приложении А.2 обсуждается двухфакторный ANOVA. Дополнительные сведения по использованию полного ANOVA приведены, например, в [20] и</w:t>
      </w:r>
      <w:r>
        <w:t xml:space="preserve"> [21].</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8.4 Мониторинг стабильности </w:t>
      </w:r>
    </w:p>
    <w:p w:rsidR="00000000" w:rsidRDefault="005829C2">
      <w:pPr>
        <w:pStyle w:val="FORMATTEXT"/>
        <w:ind w:firstLine="568"/>
        <w:jc w:val="both"/>
      </w:pPr>
      <w:r>
        <w:rPr>
          <w:b/>
          <w:bCs/>
        </w:rPr>
        <w:t>8.4.1 Эксперимент</w:t>
      </w:r>
    </w:p>
    <w:p w:rsidR="00000000" w:rsidRDefault="005829C2">
      <w:pPr>
        <w:pStyle w:val="FORMATTEXT"/>
        <w:ind w:firstLine="568"/>
        <w:jc w:val="both"/>
      </w:pPr>
    </w:p>
    <w:p w:rsidR="00000000" w:rsidRDefault="005829C2">
      <w:pPr>
        <w:pStyle w:val="FORMATTEXT"/>
        <w:ind w:firstLine="568"/>
        <w:jc w:val="both"/>
      </w:pPr>
      <w:r>
        <w:t>Мониторинг следует проводить в течение срока годности ССО (АСО). Основная проблема исследований стабильности заключается в том, что теоретически они объясняют только прошлое, а не настоящее и н</w:t>
      </w:r>
      <w:r>
        <w:t xml:space="preserve">е будущее. Некоторые виды ухудшения параметров и другие проблемы нестабильности развиваются очень медленно и постепенно, но во многих случаях происходят резкие изменения в параметрах, практически прекращающие в какой-то момент срок годности ССО (АСО). Все </w:t>
      </w:r>
      <w:r>
        <w:t>эти механизмы в высшей степени непредсказуемы, и поэтому необходим мониторинг стабильности.</w:t>
      </w:r>
    </w:p>
    <w:p w:rsidR="00000000" w:rsidRDefault="005829C2">
      <w:pPr>
        <w:pStyle w:val="FORMATTEXT"/>
        <w:ind w:firstLine="568"/>
        <w:jc w:val="both"/>
      </w:pPr>
    </w:p>
    <w:p w:rsidR="00000000" w:rsidRDefault="005829C2">
      <w:pPr>
        <w:pStyle w:val="FORMATTEXT"/>
        <w:ind w:firstLine="568"/>
        <w:jc w:val="both"/>
      </w:pPr>
      <w:r>
        <w:t>Мониторинг обычно проводят с использованием классического плана эксперимента. Это связано с тем, что изохронный план эксперимента предоставляет данные только в кон</w:t>
      </w:r>
      <w:r>
        <w:t xml:space="preserve">це исследования стабильности, в то время как для мониторинга важно иметь информацию в течение срока годности ССО (АСО). Это не имеет дальнейших последствий для неопределенности значения параметра ССО </w:t>
      </w:r>
      <w:r>
        <w:lastRenderedPageBreak/>
        <w:t>(АСО), в отличие от двух других исследований стабильност</w:t>
      </w:r>
      <w:r>
        <w:t>и, так как мониторинг только демонстрирует, что неопределенность, указанная в сертификате (паспорте) ССО (АСО), все еще достоверна. Мониторинг следует проводить с особой тщательностью, для того чтобы избежать слишком большой неопределенности во время вериф</w:t>
      </w:r>
      <w:r>
        <w:t>икации СО, но учитывать эти результаты в суммарной стандартной неопределенности СО нет необходимости.</w:t>
      </w:r>
    </w:p>
    <w:p w:rsidR="00000000" w:rsidRDefault="005829C2">
      <w:pPr>
        <w:pStyle w:val="FORMATTEXT"/>
        <w:ind w:firstLine="568"/>
        <w:jc w:val="both"/>
      </w:pPr>
    </w:p>
    <w:p w:rsidR="00000000" w:rsidRDefault="005829C2">
      <w:pPr>
        <w:pStyle w:val="FORMATTEXT"/>
        <w:ind w:firstLine="568"/>
        <w:jc w:val="both"/>
      </w:pPr>
      <w:r>
        <w:t xml:space="preserve">Важной альтернативой классическому мониторингу является использование изохронного плана эксперимента для проведения </w:t>
      </w:r>
      <w:proofErr w:type="spellStart"/>
      <w:r>
        <w:t>полунепрерывного</w:t>
      </w:r>
      <w:proofErr w:type="spellEnd"/>
      <w:r>
        <w:t xml:space="preserve"> исследования стабиль</w:t>
      </w:r>
      <w:r>
        <w:t>ности. На рисунке 4 показан пример этого вида мониторинга стабильности.</w:t>
      </w:r>
    </w:p>
    <w:p w:rsidR="00000000" w:rsidRDefault="005829C2">
      <w:pPr>
        <w:pStyle w:val="FORMATTEXT"/>
        <w:ind w:firstLine="568"/>
        <w:jc w:val="both"/>
      </w:pPr>
    </w:p>
    <w:p w:rsidR="00000000" w:rsidRDefault="005829C2">
      <w:pPr>
        <w:pStyle w:val="FORMATTEXT"/>
        <w:ind w:firstLine="568"/>
        <w:jc w:val="both"/>
      </w:pPr>
      <w:r>
        <w:t>В фазе логистики образцы хранятся при соответствующих температурах. После этой фазы все образцы должны быть измерены в условиях (идеальной) повторяемости. Иногда измерения занимают бо</w:t>
      </w:r>
      <w:r>
        <w:t>льше, чем один день, это означает, что работа в строгих условиях повторяемости невозможна. Срок хранения определяют на основе полученных данных (см. 8.5). Важно отметить, что измерения в последовательном исследовании должны проводить до окончания срока хра</w:t>
      </w:r>
      <w:r>
        <w:t>нения. Используя этот план эксперимента, нет большой необходимости объединять результаты нескольких исследований стабильности, так как оценки будут только слегка улучшаться.</w:t>
      </w:r>
    </w:p>
    <w:p w:rsidR="00000000" w:rsidRDefault="005829C2">
      <w:pPr>
        <w:pStyle w:val="FORMATTEXT"/>
        <w:ind w:firstLine="568"/>
        <w:jc w:val="both"/>
      </w:pPr>
    </w:p>
    <w:p w:rsidR="00000000" w:rsidRDefault="00862BD0">
      <w:pPr>
        <w:pStyle w:val="TOPLEVELTEXT"/>
        <w:jc w:val="center"/>
      </w:pPr>
      <w:r>
        <w:rPr>
          <w:noProof/>
          <w:position w:val="-94"/>
        </w:rPr>
        <w:drawing>
          <wp:inline distT="0" distB="0" distL="0" distR="0">
            <wp:extent cx="4619625" cy="2400300"/>
            <wp:effectExtent l="0" t="0" r="9525" b="0"/>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619625" cy="2400300"/>
                    </a:xfrm>
                    <a:prstGeom prst="rect">
                      <a:avLst/>
                    </a:prstGeom>
                    <a:noFill/>
                    <a:ln>
                      <a:noFill/>
                    </a:ln>
                  </pic:spPr>
                </pic:pic>
              </a:graphicData>
            </a:graphic>
          </wp:inline>
        </w:drawing>
      </w:r>
    </w:p>
    <w:p w:rsidR="00000000" w:rsidRDefault="005829C2">
      <w:pPr>
        <w:pStyle w:val="FORMATTEXT"/>
        <w:jc w:val="center"/>
      </w:pPr>
    </w:p>
    <w:p w:rsidR="00000000" w:rsidRDefault="005829C2">
      <w:pPr>
        <w:pStyle w:val="FORMATTEXT"/>
        <w:jc w:val="center"/>
      </w:pPr>
      <w:r>
        <w:rPr>
          <w:i/>
          <w:iCs/>
        </w:rPr>
        <w:t>1</w:t>
      </w:r>
      <w:r>
        <w:t xml:space="preserve"> - </w:t>
      </w:r>
      <w:r>
        <w:rPr>
          <w:i/>
          <w:iCs/>
        </w:rPr>
        <w:t>логистика; 2</w:t>
      </w:r>
      <w:r>
        <w:t xml:space="preserve"> - </w:t>
      </w:r>
      <w:r>
        <w:rPr>
          <w:i/>
          <w:iCs/>
        </w:rPr>
        <w:t>измерения; 3</w:t>
      </w:r>
      <w:r>
        <w:t xml:space="preserve"> - </w:t>
      </w:r>
      <w:r>
        <w:rPr>
          <w:i/>
          <w:iCs/>
        </w:rPr>
        <w:t>срок годн</w:t>
      </w:r>
      <w:r>
        <w:rPr>
          <w:i/>
          <w:iCs/>
        </w:rPr>
        <w:t>ости</w:t>
      </w:r>
    </w:p>
    <w:p w:rsidR="00000000" w:rsidRDefault="005829C2">
      <w:pPr>
        <w:pStyle w:val="FORMATTEXT"/>
        <w:jc w:val="center"/>
      </w:pPr>
    </w:p>
    <w:p w:rsidR="00000000" w:rsidRDefault="005829C2">
      <w:pPr>
        <w:pStyle w:val="FORMATTEXT"/>
        <w:jc w:val="center"/>
      </w:pPr>
      <w:r>
        <w:t xml:space="preserve">Рисунок 4 - </w:t>
      </w:r>
      <w:proofErr w:type="spellStart"/>
      <w:r>
        <w:t>Полунепрерывное</w:t>
      </w:r>
      <w:proofErr w:type="spellEnd"/>
      <w:r>
        <w:t xml:space="preserve"> исследование стабильности [23] </w:t>
      </w:r>
    </w:p>
    <w:p w:rsidR="00000000" w:rsidRDefault="005829C2">
      <w:pPr>
        <w:pStyle w:val="FORMATTEXT"/>
        <w:ind w:firstLine="568"/>
        <w:jc w:val="both"/>
      </w:pPr>
      <w:r>
        <w:t xml:space="preserve">Причина ограниченной непрерывности этого вида исследования стабильности связана с использованием изохронных измерений: </w:t>
      </w:r>
      <w:proofErr w:type="gramStart"/>
      <w:r>
        <w:t>в связи с тем что</w:t>
      </w:r>
      <w:proofErr w:type="gramEnd"/>
      <w:r>
        <w:t xml:space="preserve"> они выполняются как отдельная серия после периода исс</w:t>
      </w:r>
      <w:r>
        <w:t>ледования стабильности, необходимо сделать "разрез" в исследовании стабильности. После такого "разреза" можно также пересмотреть неопределенность значения параметра ССО (АСО), т.к. новые данные о стабильности можно использовать в качестве возобновленной оц</w:t>
      </w:r>
      <w:r>
        <w:t>енки неопределенности от нестабильности. В сущности, такой "разрез" возможен благодаря тому, что каждое изохронное исследование стабильности проводится с использованием одной градуировки. Такая градуировка необходима для каждого нового исследования, в то в</w:t>
      </w:r>
      <w:r>
        <w:t xml:space="preserve">ремя как в классическом плане эксперимента каждая экспериментальная точка обычно требует новой градуировки, приводя к "недостатку </w:t>
      </w:r>
      <w:proofErr w:type="spellStart"/>
      <w:r>
        <w:t>воспроизводимости</w:t>
      </w:r>
      <w:proofErr w:type="spellEnd"/>
      <w:r>
        <w:t>".</w:t>
      </w:r>
    </w:p>
    <w:p w:rsidR="00000000" w:rsidRDefault="005829C2">
      <w:pPr>
        <w:pStyle w:val="FORMATTEXT"/>
        <w:ind w:firstLine="568"/>
        <w:jc w:val="both"/>
      </w:pPr>
    </w:p>
    <w:p w:rsidR="00000000" w:rsidRDefault="005829C2">
      <w:pPr>
        <w:pStyle w:val="FORMATTEXT"/>
        <w:ind w:firstLine="568"/>
        <w:jc w:val="both"/>
      </w:pPr>
      <w:r>
        <w:rPr>
          <w:b/>
          <w:bCs/>
        </w:rPr>
        <w:t>8.4.2 Оценка неопределенности</w:t>
      </w:r>
    </w:p>
    <w:p w:rsidR="00000000" w:rsidRDefault="005829C2">
      <w:pPr>
        <w:pStyle w:val="FORMATTEXT"/>
        <w:ind w:firstLine="568"/>
        <w:jc w:val="both"/>
      </w:pPr>
    </w:p>
    <w:p w:rsidR="00000000" w:rsidRDefault="005829C2">
      <w:pPr>
        <w:pStyle w:val="FORMATTEXT"/>
        <w:ind w:firstLine="568"/>
        <w:jc w:val="both"/>
      </w:pPr>
      <w:r>
        <w:t>Оценка неопределенности при мониторинге стабильности существенно отличаетс</w:t>
      </w:r>
      <w:r>
        <w:t xml:space="preserve">я от исследований долговременной и кратковременной стабильности. Во-первых, следует отметить, что мониторинг стабильности не влияет на неопределенность стандартного образца </w:t>
      </w:r>
      <w:r>
        <w:rPr>
          <w:i/>
          <w:iCs/>
        </w:rPr>
        <w:t>u</w:t>
      </w:r>
      <w:r w:rsidR="00862BD0">
        <w:rPr>
          <w:noProof/>
          <w:position w:val="-10"/>
        </w:rPr>
        <w:drawing>
          <wp:inline distT="0" distB="0" distL="0" distR="0">
            <wp:extent cx="304800" cy="228600"/>
            <wp:effectExtent l="0" t="0" r="0" b="0"/>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04800" cy="228600"/>
                    </a:xfrm>
                    <a:prstGeom prst="rect">
                      <a:avLst/>
                    </a:prstGeom>
                    <a:noFill/>
                    <a:ln>
                      <a:noFill/>
                    </a:ln>
                  </pic:spPr>
                </pic:pic>
              </a:graphicData>
            </a:graphic>
          </wp:inline>
        </w:drawing>
      </w:r>
      <w:r>
        <w:rPr>
          <w:i/>
          <w:iCs/>
        </w:rPr>
        <w:t>,</w:t>
      </w:r>
      <w:r>
        <w:t xml:space="preserve"> указанную в сертификате (паспорте). Это логич</w:t>
      </w:r>
      <w:r>
        <w:t xml:space="preserve">ески невозможно, и в этом нет необходимости, как будет продемонстрировано ниже. В идеале неопределенность, связанная с измерением </w:t>
      </w:r>
      <w:r>
        <w:rPr>
          <w:i/>
          <w:iCs/>
        </w:rPr>
        <w:t>u</w:t>
      </w:r>
      <w:r w:rsidR="00862BD0">
        <w:rPr>
          <w:noProof/>
          <w:position w:val="-10"/>
        </w:rPr>
        <w:drawing>
          <wp:inline distT="0" distB="0" distL="0" distR="0">
            <wp:extent cx="295275" cy="228600"/>
            <wp:effectExtent l="0" t="0" r="9525" b="0"/>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95275" cy="228600"/>
                    </a:xfrm>
                    <a:prstGeom prst="rect">
                      <a:avLst/>
                    </a:prstGeom>
                    <a:noFill/>
                    <a:ln>
                      <a:noFill/>
                    </a:ln>
                  </pic:spPr>
                </pic:pic>
              </a:graphicData>
            </a:graphic>
          </wp:inline>
        </w:drawing>
      </w:r>
      <w:r>
        <w:rPr>
          <w:i/>
          <w:iCs/>
        </w:rPr>
        <w:t>,</w:t>
      </w:r>
      <w:r>
        <w:t xml:space="preserve"> значительно меньше, чем </w:t>
      </w:r>
      <w:r>
        <w:rPr>
          <w:i/>
          <w:iCs/>
        </w:rPr>
        <w:t>u</w:t>
      </w:r>
      <w:r w:rsidR="00862BD0">
        <w:rPr>
          <w:noProof/>
          <w:position w:val="-10"/>
        </w:rPr>
        <w:drawing>
          <wp:inline distT="0" distB="0" distL="0" distR="0">
            <wp:extent cx="304800" cy="228600"/>
            <wp:effectExtent l="0" t="0" r="0" b="0"/>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04800" cy="228600"/>
                    </a:xfrm>
                    <a:prstGeom prst="rect">
                      <a:avLst/>
                    </a:prstGeom>
                    <a:noFill/>
                    <a:ln>
                      <a:noFill/>
                    </a:ln>
                  </pic:spPr>
                </pic:pic>
              </a:graphicData>
            </a:graphic>
          </wp:inline>
        </w:drawing>
      </w:r>
      <w:r>
        <w:rPr>
          <w:i/>
          <w:iCs/>
        </w:rPr>
        <w:t>,</w:t>
      </w:r>
      <w:r>
        <w:t xml:space="preserve"> но такая ситуация не всег</w:t>
      </w:r>
      <w:r>
        <w:t>да имеет место. Кроме того, измерения должны выполнять таким образом, чтобы их достоверность не демонстрировалась использованием данного ССО (АСО). Невозможно проверить одновременно две вещи в одном эксперименте. Следует повторно подтвердить пригодность СС</w:t>
      </w:r>
      <w:r>
        <w:t>О (АСО), достоверность которого может быть подтверждена только в том случае, если измерение надежно.</w:t>
      </w:r>
    </w:p>
    <w:p w:rsidR="00000000" w:rsidRDefault="005829C2">
      <w:pPr>
        <w:pStyle w:val="FORMATTEXT"/>
        <w:ind w:firstLine="568"/>
        <w:jc w:val="both"/>
      </w:pPr>
    </w:p>
    <w:p w:rsidR="00000000" w:rsidRDefault="005829C2">
      <w:pPr>
        <w:pStyle w:val="FORMATTEXT"/>
        <w:ind w:firstLine="568"/>
        <w:jc w:val="both"/>
      </w:pPr>
      <w:r>
        <w:lastRenderedPageBreak/>
        <w:t>Если выполняется условие:</w:t>
      </w:r>
    </w:p>
    <w:p w:rsidR="00000000" w:rsidRDefault="005829C2">
      <w:pPr>
        <w:pStyle w:val="FORMATTEXT"/>
        <w:ind w:firstLine="568"/>
        <w:jc w:val="both"/>
      </w:pPr>
    </w:p>
    <w:p w:rsidR="00000000" w:rsidRDefault="00862BD0">
      <w:pPr>
        <w:pStyle w:val="FORMATTEXT"/>
        <w:jc w:val="right"/>
      </w:pPr>
      <w:r>
        <w:rPr>
          <w:noProof/>
          <w:position w:val="-13"/>
        </w:rPr>
        <w:drawing>
          <wp:inline distT="0" distB="0" distL="0" distR="0">
            <wp:extent cx="2066925" cy="304800"/>
            <wp:effectExtent l="0" t="0" r="9525" b="0"/>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066925" cy="304800"/>
                    </a:xfrm>
                    <a:prstGeom prst="rect">
                      <a:avLst/>
                    </a:prstGeom>
                    <a:noFill/>
                    <a:ln>
                      <a:noFill/>
                    </a:ln>
                  </pic:spPr>
                </pic:pic>
              </a:graphicData>
            </a:graphic>
          </wp:inline>
        </w:drawing>
      </w:r>
      <w:r w:rsidR="005829C2">
        <w:t xml:space="preserve">,                                              (16) </w:t>
      </w:r>
    </w:p>
    <w:p w:rsidR="00000000" w:rsidRDefault="005829C2">
      <w:pPr>
        <w:pStyle w:val="FORMATTEXT"/>
        <w:jc w:val="both"/>
      </w:pPr>
    </w:p>
    <w:p w:rsidR="00000000" w:rsidRDefault="005829C2">
      <w:pPr>
        <w:pStyle w:val="FORMATTEXT"/>
        <w:jc w:val="both"/>
      </w:pPr>
    </w:p>
    <w:p w:rsidR="00000000" w:rsidRDefault="005829C2">
      <w:pPr>
        <w:pStyle w:val="FORMATTEXT"/>
        <w:jc w:val="both"/>
      </w:pPr>
      <w:r>
        <w:t xml:space="preserve">где </w:t>
      </w:r>
      <w:r>
        <w:rPr>
          <w:i/>
          <w:iCs/>
        </w:rPr>
        <w:t>x</w:t>
      </w:r>
      <w:r w:rsidR="00862BD0">
        <w:rPr>
          <w:noProof/>
          <w:position w:val="-10"/>
        </w:rPr>
        <w:drawing>
          <wp:inline distT="0" distB="0" distL="0" distR="0">
            <wp:extent cx="304800" cy="228600"/>
            <wp:effectExtent l="0" t="0" r="0" b="0"/>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04800" cy="228600"/>
                    </a:xfrm>
                    <a:prstGeom prst="rect">
                      <a:avLst/>
                    </a:prstGeom>
                    <a:noFill/>
                    <a:ln>
                      <a:noFill/>
                    </a:ln>
                  </pic:spPr>
                </pic:pic>
              </a:graphicData>
            </a:graphic>
          </wp:inline>
        </w:drawing>
      </w:r>
      <w:r>
        <w:t xml:space="preserve"> обозначает значение параметра СО, </w:t>
      </w:r>
      <w:r>
        <w:rPr>
          <w:i/>
          <w:iCs/>
        </w:rPr>
        <w:t>x</w:t>
      </w:r>
      <w:r w:rsidR="00862BD0">
        <w:rPr>
          <w:noProof/>
          <w:position w:val="-10"/>
        </w:rPr>
        <w:drawing>
          <wp:inline distT="0" distB="0" distL="0" distR="0">
            <wp:extent cx="295275" cy="228600"/>
            <wp:effectExtent l="0" t="0" r="9525" b="0"/>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95275" cy="228600"/>
                    </a:xfrm>
                    <a:prstGeom prst="rect">
                      <a:avLst/>
                    </a:prstGeom>
                    <a:noFill/>
                    <a:ln>
                      <a:noFill/>
                    </a:ln>
                  </pic:spPr>
                </pic:pic>
              </a:graphicData>
            </a:graphic>
          </wp:inline>
        </w:drawing>
      </w:r>
      <w:r>
        <w:t xml:space="preserve"> - наблюдаемое значение во время измерения и k - соот</w:t>
      </w:r>
      <w:r>
        <w:t xml:space="preserve">ветствующий коэффициент охвата с уровнем доверия 95%, </w:t>
      </w:r>
      <w:r>
        <w:rPr>
          <w:i/>
          <w:iCs/>
        </w:rPr>
        <w:t>при котором</w:t>
      </w:r>
      <w:r>
        <w:t xml:space="preserve"> материал может рассматриваться как достаточно стабильный и стабильность - как демонстрируемая (при условии, что метод измерений не дает систематического смещения результатов). </w:t>
      </w:r>
    </w:p>
    <w:p w:rsidR="00000000" w:rsidRDefault="005829C2">
      <w:pPr>
        <w:pStyle w:val="FORMATTEXT"/>
        <w:ind w:firstLine="568"/>
        <w:jc w:val="both"/>
      </w:pPr>
      <w:r>
        <w:t>Если эти усло</w:t>
      </w:r>
      <w:r>
        <w:t xml:space="preserve">вия эксперимента выполняются, то значение параметра и его расширенная неопределенность повторно подтверждены. В этих условиях нет необходимости увеличивать </w:t>
      </w:r>
      <w:r>
        <w:rPr>
          <w:i/>
          <w:iCs/>
        </w:rPr>
        <w:t>u</w:t>
      </w:r>
      <w:r w:rsidR="00862BD0">
        <w:rPr>
          <w:noProof/>
          <w:position w:val="-10"/>
        </w:rPr>
        <w:drawing>
          <wp:inline distT="0" distB="0" distL="0" distR="0">
            <wp:extent cx="304800" cy="228600"/>
            <wp:effectExtent l="0" t="0" r="0" b="0"/>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04800" cy="228600"/>
                    </a:xfrm>
                    <a:prstGeom prst="rect">
                      <a:avLst/>
                    </a:prstGeom>
                    <a:noFill/>
                    <a:ln>
                      <a:noFill/>
                    </a:ln>
                  </pic:spPr>
                </pic:pic>
              </a:graphicData>
            </a:graphic>
          </wp:inline>
        </w:drawing>
      </w:r>
      <w:r>
        <w:rPr>
          <w:i/>
          <w:iCs/>
        </w:rPr>
        <w:t>,</w:t>
      </w:r>
      <w:r>
        <w:t xml:space="preserve"> т.к. неопределенность измерений должна учитываться отдельно. </w:t>
      </w:r>
      <w:r>
        <w:t xml:space="preserve">Это справедливо для мониторинга, а также для обычного использования ССО (АСО). Следует тем не менее отметить, что для достоверности измерений при мониторинге </w:t>
      </w:r>
      <w:r>
        <w:rPr>
          <w:i/>
          <w:iCs/>
        </w:rPr>
        <w:t>u</w:t>
      </w:r>
      <w:r w:rsidR="00862BD0">
        <w:rPr>
          <w:noProof/>
          <w:position w:val="-10"/>
        </w:rPr>
        <w:drawing>
          <wp:inline distT="0" distB="0" distL="0" distR="0">
            <wp:extent cx="295275" cy="228600"/>
            <wp:effectExtent l="0" t="0" r="9525" b="0"/>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95275" cy="228600"/>
                    </a:xfrm>
                    <a:prstGeom prst="rect">
                      <a:avLst/>
                    </a:prstGeom>
                    <a:noFill/>
                    <a:ln>
                      <a:noFill/>
                    </a:ln>
                  </pic:spPr>
                </pic:pic>
              </a:graphicData>
            </a:graphic>
          </wp:inline>
        </w:drawing>
      </w:r>
      <w:r>
        <w:t xml:space="preserve"> должна быть как можно меньше и, конечно, не превышать </w:t>
      </w:r>
      <w:r>
        <w:rPr>
          <w:i/>
          <w:iCs/>
        </w:rPr>
        <w:t>u</w:t>
      </w:r>
      <w:r w:rsidR="00862BD0">
        <w:rPr>
          <w:noProof/>
          <w:position w:val="-10"/>
        </w:rPr>
        <w:drawing>
          <wp:inline distT="0" distB="0" distL="0" distR="0">
            <wp:extent cx="295275" cy="228600"/>
            <wp:effectExtent l="0" t="0" r="9525" b="0"/>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95275" cy="228600"/>
                    </a:xfrm>
                    <a:prstGeom prst="rect">
                      <a:avLst/>
                    </a:prstGeom>
                    <a:noFill/>
                    <a:ln>
                      <a:noFill/>
                    </a:ln>
                  </pic:spPr>
                </pic:pic>
              </a:graphicData>
            </a:graphic>
          </wp:inline>
        </w:drawing>
      </w:r>
      <w:r>
        <w:rPr>
          <w:i/>
          <w:iCs/>
        </w:rPr>
        <w:t>,</w:t>
      </w:r>
      <w:r>
        <w:t xml:space="preserve"> полученную типичным пользователем ССО (АСО), который будет использовать аналогичный подход для своих измерений.</w:t>
      </w:r>
    </w:p>
    <w:p w:rsidR="00000000" w:rsidRDefault="005829C2">
      <w:pPr>
        <w:pStyle w:val="FORMATTEXT"/>
        <w:ind w:firstLine="568"/>
        <w:jc w:val="both"/>
      </w:pPr>
    </w:p>
    <w:p w:rsidR="00000000" w:rsidRDefault="005829C2">
      <w:pPr>
        <w:pStyle w:val="FORMATTEXT"/>
        <w:ind w:firstLine="568"/>
        <w:jc w:val="both"/>
      </w:pPr>
      <w:r>
        <w:t>Если мониторинг или непрерывное изохронное исследование стабильности указывают на то, что значение параметра б</w:t>
      </w:r>
      <w:r>
        <w:t>ольше недостоверно в пределах своей неопределенности, то можно использовать два допустимых варианта (см. также 6.7):</w:t>
      </w:r>
    </w:p>
    <w:p w:rsidR="00000000" w:rsidRDefault="005829C2">
      <w:pPr>
        <w:pStyle w:val="FORMATTEXT"/>
        <w:ind w:firstLine="568"/>
        <w:jc w:val="both"/>
      </w:pPr>
    </w:p>
    <w:p w:rsidR="00000000" w:rsidRDefault="005829C2">
      <w:pPr>
        <w:pStyle w:val="FORMATTEXT"/>
        <w:ind w:firstLine="568"/>
        <w:jc w:val="both"/>
      </w:pPr>
      <w:r>
        <w:t>- изъятие [сертифицированного (аттестованного)] СО или</w:t>
      </w:r>
    </w:p>
    <w:p w:rsidR="00000000" w:rsidRDefault="005829C2">
      <w:pPr>
        <w:pStyle w:val="FORMATTEXT"/>
        <w:ind w:firstLine="568"/>
        <w:jc w:val="both"/>
      </w:pPr>
    </w:p>
    <w:p w:rsidR="00000000" w:rsidRDefault="005829C2">
      <w:pPr>
        <w:pStyle w:val="FORMATTEXT"/>
        <w:ind w:firstLine="568"/>
        <w:jc w:val="both"/>
      </w:pPr>
      <w:r>
        <w:t>- повторная сертификация (аттестация).</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8.5 Определение срока хранения в за</w:t>
      </w:r>
      <w:r>
        <w:rPr>
          <w:b/>
          <w:bCs/>
          <w:color w:val="000001"/>
        </w:rPr>
        <w:t xml:space="preserve">висимости от долговременной стабильности </w:t>
      </w:r>
    </w:p>
    <w:p w:rsidR="00000000" w:rsidRDefault="005829C2">
      <w:pPr>
        <w:pStyle w:val="FORMATTEXT"/>
        <w:ind w:firstLine="568"/>
        <w:jc w:val="both"/>
      </w:pPr>
      <w:r>
        <w:t>Срок хранения может быть связан со стандартной неопределенностью от долговременной стабильности следующим образом. Основанием является отсутствие значительного тренда в результатах исследования стабильности.</w:t>
      </w:r>
    </w:p>
    <w:p w:rsidR="00000000" w:rsidRDefault="005829C2">
      <w:pPr>
        <w:pStyle w:val="FORMATTEXT"/>
        <w:ind w:firstLine="568"/>
        <w:jc w:val="both"/>
      </w:pPr>
    </w:p>
    <w:p w:rsidR="00000000" w:rsidRDefault="005829C2">
      <w:pPr>
        <w:pStyle w:val="FORMATTEXT"/>
        <w:ind w:firstLine="568"/>
        <w:jc w:val="both"/>
      </w:pPr>
      <w:r>
        <w:t>Дано:</w:t>
      </w:r>
    </w:p>
    <w:p w:rsidR="00000000" w:rsidRDefault="005829C2">
      <w:pPr>
        <w:pStyle w:val="FORMATTEXT"/>
        <w:ind w:firstLine="568"/>
        <w:jc w:val="both"/>
      </w:pPr>
    </w:p>
    <w:p w:rsidR="00000000" w:rsidRDefault="00862BD0">
      <w:pPr>
        <w:pStyle w:val="FORMATTEXT"/>
        <w:jc w:val="right"/>
      </w:pPr>
      <w:r>
        <w:rPr>
          <w:noProof/>
          <w:position w:val="-10"/>
        </w:rPr>
        <w:drawing>
          <wp:inline distT="0" distB="0" distL="0" distR="0">
            <wp:extent cx="1590675" cy="228600"/>
            <wp:effectExtent l="0" t="0" r="9525" b="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590675" cy="228600"/>
                    </a:xfrm>
                    <a:prstGeom prst="rect">
                      <a:avLst/>
                    </a:prstGeom>
                    <a:noFill/>
                    <a:ln>
                      <a:noFill/>
                    </a:ln>
                  </pic:spPr>
                </pic:pic>
              </a:graphicData>
            </a:graphic>
          </wp:inline>
        </w:drawing>
      </w:r>
      <w:r w:rsidR="005829C2">
        <w:t xml:space="preserve">,                                                       (17) </w:t>
      </w:r>
    </w:p>
    <w:p w:rsidR="00000000" w:rsidRDefault="005829C2">
      <w:pPr>
        <w:pStyle w:val="FORMATTEXT"/>
        <w:jc w:val="both"/>
      </w:pPr>
    </w:p>
    <w:p w:rsidR="00000000" w:rsidRDefault="005829C2">
      <w:pPr>
        <w:pStyle w:val="FORMATTEXT"/>
        <w:jc w:val="both"/>
      </w:pPr>
    </w:p>
    <w:p w:rsidR="00000000" w:rsidRDefault="005829C2">
      <w:pPr>
        <w:pStyle w:val="FORMATTEXT"/>
        <w:jc w:val="both"/>
      </w:pPr>
      <w:r>
        <w:t xml:space="preserve">где допускается, что значение параметра </w:t>
      </w:r>
      <w:r>
        <w:rPr>
          <w:i/>
          <w:iCs/>
        </w:rPr>
        <w:t>Y</w:t>
      </w:r>
      <w:r>
        <w:t xml:space="preserve"> уменьшается линейно от первоначального значения </w:t>
      </w:r>
      <w:r>
        <w:rPr>
          <w:i/>
          <w:iCs/>
        </w:rPr>
        <w:t>Y</w:t>
      </w:r>
      <w:r w:rsidR="00862BD0">
        <w:rPr>
          <w:noProof/>
          <w:position w:val="-10"/>
        </w:rPr>
        <w:drawing>
          <wp:inline distT="0" distB="0" distL="0" distR="0">
            <wp:extent cx="104775" cy="228600"/>
            <wp:effectExtent l="0" t="0" r="9525" b="0"/>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775" cy="228600"/>
                    </a:xfrm>
                    <a:prstGeom prst="rect">
                      <a:avLst/>
                    </a:prstGeom>
                    <a:noFill/>
                    <a:ln>
                      <a:noFill/>
                    </a:ln>
                  </pic:spPr>
                </pic:pic>
              </a:graphicData>
            </a:graphic>
          </wp:inline>
        </w:drawing>
      </w:r>
      <w:r>
        <w:t xml:space="preserve"> с постоянной относительной с</w:t>
      </w:r>
      <w:r>
        <w:t xml:space="preserve">коростью деградации </w:t>
      </w:r>
      <w:r>
        <w:rPr>
          <w:i/>
          <w:iCs/>
        </w:rPr>
        <w:t>b’</w:t>
      </w:r>
      <w:r>
        <w:t xml:space="preserve"> как функции </w:t>
      </w:r>
      <w:proofErr w:type="gramStart"/>
      <w:r>
        <w:t xml:space="preserve">времени </w:t>
      </w:r>
      <w:r w:rsidR="00862BD0">
        <w:rPr>
          <w:noProof/>
          <w:position w:val="-7"/>
        </w:rPr>
        <w:drawing>
          <wp:inline distT="0" distB="0" distL="0" distR="0">
            <wp:extent cx="123825" cy="161925"/>
            <wp:effectExtent l="0" t="0" r="9525" b="9525"/>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rPr>
          <w:i/>
          <w:iCs/>
        </w:rPr>
        <w:t>.</w:t>
      </w:r>
      <w:proofErr w:type="gramEnd"/>
      <w:r>
        <w:t xml:space="preserve"> Неопределенность, связанную со значением параметра ССО (АСО), можно оценить путем распространения неопределенностей </w:t>
      </w:r>
      <w:r>
        <w:rPr>
          <w:i/>
          <w:iCs/>
        </w:rPr>
        <w:t>u</w:t>
      </w:r>
      <w:r>
        <w:t>(</w:t>
      </w:r>
      <w:r>
        <w:rPr>
          <w:i/>
          <w:iCs/>
        </w:rPr>
        <w:t>Y</w:t>
      </w:r>
      <w:r w:rsidR="00862BD0">
        <w:rPr>
          <w:noProof/>
          <w:position w:val="-10"/>
        </w:rPr>
        <w:drawing>
          <wp:inline distT="0" distB="0" distL="0" distR="0">
            <wp:extent cx="104775" cy="228600"/>
            <wp:effectExtent l="0" t="0" r="9525" b="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775" cy="228600"/>
                    </a:xfrm>
                    <a:prstGeom prst="rect">
                      <a:avLst/>
                    </a:prstGeom>
                    <a:noFill/>
                    <a:ln>
                      <a:noFill/>
                    </a:ln>
                  </pic:spPr>
                </pic:pic>
              </a:graphicData>
            </a:graphic>
          </wp:inline>
        </w:drawing>
      </w:r>
      <w:r>
        <w:t xml:space="preserve">), </w:t>
      </w:r>
      <w:r>
        <w:rPr>
          <w:i/>
          <w:iCs/>
        </w:rPr>
        <w:t>и</w:t>
      </w:r>
      <w:r>
        <w:t>(</w:t>
      </w:r>
      <w:r>
        <w:rPr>
          <w:i/>
          <w:iCs/>
        </w:rPr>
        <w:t>Х</w:t>
      </w:r>
      <w:r>
        <w:t xml:space="preserve">) и </w:t>
      </w:r>
      <w:r>
        <w:rPr>
          <w:i/>
          <w:iCs/>
        </w:rPr>
        <w:t>u</w:t>
      </w:r>
      <w:r>
        <w:t>(</w:t>
      </w:r>
      <w:r>
        <w:rPr>
          <w:i/>
          <w:iCs/>
        </w:rPr>
        <w:t>b</w:t>
      </w:r>
      <w:r>
        <w:t>’) завис</w:t>
      </w:r>
      <w:r>
        <w:t xml:space="preserve">имой переменной </w:t>
      </w:r>
      <w:r>
        <w:rPr>
          <w:i/>
          <w:iCs/>
        </w:rPr>
        <w:t>Y</w:t>
      </w:r>
      <w:r>
        <w:t xml:space="preserve"> на независимые переменные </w:t>
      </w:r>
      <w:r>
        <w:rPr>
          <w:i/>
          <w:iCs/>
        </w:rPr>
        <w:t>Y</w:t>
      </w:r>
      <w:r w:rsidR="00862BD0">
        <w:rPr>
          <w:noProof/>
          <w:position w:val="-10"/>
        </w:rPr>
        <w:drawing>
          <wp:inline distT="0" distB="0" distL="0" distR="0">
            <wp:extent cx="104775" cy="228600"/>
            <wp:effectExtent l="0" t="0" r="9525" b="0"/>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775" cy="228600"/>
                    </a:xfrm>
                    <a:prstGeom prst="rect">
                      <a:avLst/>
                    </a:prstGeom>
                    <a:noFill/>
                    <a:ln>
                      <a:noFill/>
                    </a:ln>
                  </pic:spPr>
                </pic:pic>
              </a:graphicData>
            </a:graphic>
          </wp:inline>
        </w:drawing>
      </w:r>
      <w:r>
        <w:t xml:space="preserve">, </w:t>
      </w:r>
      <w:r>
        <w:rPr>
          <w:i/>
          <w:iCs/>
        </w:rPr>
        <w:t>X</w:t>
      </w:r>
      <w:r>
        <w:t xml:space="preserve"> и </w:t>
      </w:r>
      <w:r>
        <w:rPr>
          <w:i/>
          <w:iCs/>
        </w:rPr>
        <w:t>b</w:t>
      </w:r>
      <w:r>
        <w:t>’:</w:t>
      </w:r>
    </w:p>
    <w:p w:rsidR="00000000" w:rsidRDefault="00862BD0">
      <w:pPr>
        <w:pStyle w:val="FORMATTEXT"/>
        <w:jc w:val="right"/>
      </w:pPr>
      <w:r>
        <w:rPr>
          <w:noProof/>
          <w:position w:val="-23"/>
        </w:rPr>
        <w:drawing>
          <wp:inline distT="0" distB="0" distL="0" distR="0">
            <wp:extent cx="3400425" cy="561975"/>
            <wp:effectExtent l="0" t="0" r="9525" b="9525"/>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400425" cy="561975"/>
                    </a:xfrm>
                    <a:prstGeom prst="rect">
                      <a:avLst/>
                    </a:prstGeom>
                    <a:noFill/>
                    <a:ln>
                      <a:noFill/>
                    </a:ln>
                  </pic:spPr>
                </pic:pic>
              </a:graphicData>
            </a:graphic>
          </wp:inline>
        </w:drawing>
      </w:r>
      <w:r w:rsidR="005829C2">
        <w:t xml:space="preserve">.                               (18) </w:t>
      </w:r>
    </w:p>
    <w:p w:rsidR="00000000" w:rsidRDefault="005829C2">
      <w:pPr>
        <w:pStyle w:val="FORMATTEXT"/>
        <w:ind w:firstLine="568"/>
        <w:jc w:val="both"/>
      </w:pPr>
      <w:r>
        <w:t>Как показано в [25], последний член можно взять за основу отношения между стандартной неопр</w:t>
      </w:r>
      <w:r>
        <w:t xml:space="preserve">еделенностью от долговременной стабильности и сроком хранения. Следует отметить, что частная производная равна </w:t>
      </w:r>
      <w:r>
        <w:rPr>
          <w:i/>
          <w:iCs/>
        </w:rPr>
        <w:t>Х</w:t>
      </w:r>
      <w:r>
        <w:t xml:space="preserve"> - времени, прошедшему после сертификации (аттестации). Используя линейную аппроксимацию для времени </w:t>
      </w:r>
      <w:r>
        <w:rPr>
          <w:i/>
          <w:iCs/>
        </w:rPr>
        <w:t>X</w:t>
      </w:r>
      <w:r>
        <w:t>:</w:t>
      </w:r>
    </w:p>
    <w:p w:rsidR="00000000" w:rsidRDefault="005829C2">
      <w:pPr>
        <w:pStyle w:val="FORMATTEXT"/>
        <w:ind w:firstLine="568"/>
        <w:jc w:val="both"/>
      </w:pPr>
    </w:p>
    <w:p w:rsidR="00000000" w:rsidRDefault="00862BD0">
      <w:pPr>
        <w:pStyle w:val="FORMATTEXT"/>
        <w:jc w:val="right"/>
      </w:pPr>
      <w:r>
        <w:rPr>
          <w:noProof/>
          <w:position w:val="-10"/>
        </w:rPr>
        <w:drawing>
          <wp:inline distT="0" distB="0" distL="0" distR="0">
            <wp:extent cx="771525" cy="228600"/>
            <wp:effectExtent l="0" t="0" r="9525" b="0"/>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771525" cy="228600"/>
                    </a:xfrm>
                    <a:prstGeom prst="rect">
                      <a:avLst/>
                    </a:prstGeom>
                    <a:noFill/>
                    <a:ln>
                      <a:noFill/>
                    </a:ln>
                  </pic:spPr>
                </pic:pic>
              </a:graphicData>
            </a:graphic>
          </wp:inline>
        </w:drawing>
      </w:r>
      <w:r w:rsidR="005829C2">
        <w:t>.  </w:t>
      </w:r>
      <w:r w:rsidR="005829C2">
        <w:t xml:space="preserve">                                                               (19) </w:t>
      </w:r>
    </w:p>
    <w:p w:rsidR="00000000" w:rsidRDefault="005829C2">
      <w:pPr>
        <w:pStyle w:val="FORMATTEXT"/>
        <w:ind w:firstLine="568"/>
        <w:jc w:val="both"/>
      </w:pPr>
      <w:r>
        <w:t xml:space="preserve">Это выражение формирует основу для поправки на неопределенность от долговременной стабильности образцов при отсутствии значительной деградации для данного срока хранения </w:t>
      </w:r>
      <w:r>
        <w:rPr>
          <w:i/>
          <w:iCs/>
        </w:rPr>
        <w:t>Х</w:t>
      </w:r>
      <w:r>
        <w:t>.</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9 Опре</w:t>
      </w:r>
      <w:r>
        <w:rPr>
          <w:b/>
          <w:bCs/>
          <w:color w:val="000001"/>
        </w:rPr>
        <w:t xml:space="preserve">деление значений параметров </w:t>
      </w: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w:t>
      </w: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9.1 Общие положения </w:t>
      </w:r>
    </w:p>
    <w:p w:rsidR="00000000" w:rsidRDefault="005829C2">
      <w:pPr>
        <w:pStyle w:val="FORMATTEXT"/>
        <w:ind w:firstLine="568"/>
        <w:jc w:val="both"/>
      </w:pPr>
      <w:r>
        <w:t>Существует ряд технически обоснованных подходов для приписывания значений параметров. Они включают измерения одним или несколькими методами с привлечением одной или нескольких лабораторий. Н</w:t>
      </w:r>
      <w:r>
        <w:t>еобходимый подход можно выбрать в зависимости от типа СО, требований к его конечному назначению, квалификации привлеченных лабораторий, качества метода или методов и способности реально оценить неопределенность характеристик.</w:t>
      </w:r>
    </w:p>
    <w:p w:rsidR="00000000" w:rsidRDefault="005829C2">
      <w:pPr>
        <w:pStyle w:val="FORMATTEXT"/>
        <w:ind w:firstLine="568"/>
        <w:jc w:val="both"/>
      </w:pPr>
    </w:p>
    <w:p w:rsidR="00000000" w:rsidRDefault="005829C2">
      <w:pPr>
        <w:pStyle w:val="FORMATTEXT"/>
        <w:ind w:firstLine="568"/>
        <w:jc w:val="both"/>
      </w:pPr>
      <w:r>
        <w:t>Как данный раздел, так и разд</w:t>
      </w:r>
      <w:r>
        <w:t>ел 10 ограничены случаем определения отдельных значений параметра. В некоторых областях представляющие интерес параметра ССО (АСО) могут принимать другие формы, например, спектры. В принципе, содержание разделов 9 и 10 может также применяться к этим случая</w:t>
      </w:r>
      <w:r>
        <w:t xml:space="preserve">м, но математика более сложная, чем для значений параметров. Она требует глубоких знаний методов статистического моделирования для применения концепций, изложенных в настоящем стандарте. Аспекты однородности между экземплярами, долговременной стабильности </w:t>
      </w:r>
      <w:r>
        <w:t>и, если возможно, кратковременной стабильности также применимы к случаям рассмотрения таких параметров, как спектры или кривые.</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9.2 Установление и демонстрирование </w:t>
      </w:r>
      <w:proofErr w:type="spellStart"/>
      <w:r>
        <w:rPr>
          <w:b/>
          <w:bCs/>
          <w:color w:val="000001"/>
        </w:rPr>
        <w:t>прослеживаемости</w:t>
      </w:r>
      <w:proofErr w:type="spellEnd"/>
      <w:r>
        <w:rPr>
          <w:b/>
          <w:bCs/>
          <w:color w:val="000001"/>
        </w:rPr>
        <w:t xml:space="preserve"> </w:t>
      </w:r>
    </w:p>
    <w:p w:rsidR="00000000" w:rsidRDefault="005829C2">
      <w:pPr>
        <w:pStyle w:val="FORMATTEXT"/>
        <w:ind w:firstLine="568"/>
        <w:jc w:val="both"/>
      </w:pPr>
      <w:r>
        <w:t>ССО (АСО) в роли эталона должен иметь значения параметров, которые</w:t>
      </w:r>
      <w:r>
        <w:t xml:space="preserve"> прослеживаются к соответствующим единицам и/или опорным значениям. Имеется несколько способов достижения такой </w:t>
      </w:r>
      <w:proofErr w:type="spellStart"/>
      <w:r>
        <w:t>прослеживаемости</w:t>
      </w:r>
      <w:proofErr w:type="spellEnd"/>
      <w:r>
        <w:t>; необходимо сделать правильный выбор, основываясь на назначении ССО (АСО). Существуют следующие модели:</w:t>
      </w:r>
    </w:p>
    <w:p w:rsidR="00000000" w:rsidRDefault="005829C2">
      <w:pPr>
        <w:pStyle w:val="FORMATTEXT"/>
        <w:ind w:firstLine="568"/>
        <w:jc w:val="both"/>
      </w:pPr>
    </w:p>
    <w:p w:rsidR="00000000" w:rsidRDefault="005829C2">
      <w:pPr>
        <w:pStyle w:val="FORMATTEXT"/>
        <w:ind w:firstLine="568"/>
        <w:jc w:val="both"/>
      </w:pPr>
      <w:r>
        <w:t>a) следует по возможно</w:t>
      </w:r>
      <w:r>
        <w:t xml:space="preserve">сти установить </w:t>
      </w:r>
      <w:proofErr w:type="spellStart"/>
      <w:r>
        <w:t>прослеживаемость</w:t>
      </w:r>
      <w:proofErr w:type="spellEnd"/>
      <w:r>
        <w:t xml:space="preserve"> значений параметров к единицам СИ и выразить их в соответствующих единицах;</w:t>
      </w:r>
    </w:p>
    <w:p w:rsidR="00000000" w:rsidRDefault="005829C2">
      <w:pPr>
        <w:pStyle w:val="FORMATTEXT"/>
        <w:ind w:firstLine="568"/>
        <w:jc w:val="both"/>
      </w:pPr>
    </w:p>
    <w:p w:rsidR="00000000" w:rsidRDefault="005829C2">
      <w:pPr>
        <w:pStyle w:val="FORMATTEXT"/>
        <w:ind w:firstLine="568"/>
        <w:jc w:val="both"/>
      </w:pPr>
      <w:r>
        <w:t xml:space="preserve">b) многие СО (точно) воспроизводят единицу, определенную стандартным методом; эти СО должны иметь </w:t>
      </w:r>
      <w:proofErr w:type="spellStart"/>
      <w:r>
        <w:t>прослеживаемость</w:t>
      </w:r>
      <w:proofErr w:type="spellEnd"/>
      <w:r>
        <w:t xml:space="preserve"> к результатам, полученным в стро</w:t>
      </w:r>
      <w:r>
        <w:t>гом соответствии с этим стандартным методом и/или в соответствии со стандартной рабочей процедурой, разработанной на основе этого стандартного метода;</w:t>
      </w:r>
    </w:p>
    <w:p w:rsidR="00000000" w:rsidRDefault="005829C2">
      <w:pPr>
        <w:pStyle w:val="FORMATTEXT"/>
        <w:ind w:firstLine="568"/>
        <w:jc w:val="both"/>
      </w:pPr>
    </w:p>
    <w:p w:rsidR="00000000" w:rsidRDefault="005829C2">
      <w:pPr>
        <w:pStyle w:val="FORMATTEXT"/>
        <w:ind w:firstLine="568"/>
        <w:jc w:val="both"/>
      </w:pPr>
      <w:r>
        <w:t xml:space="preserve">c) можно установить </w:t>
      </w:r>
      <w:proofErr w:type="spellStart"/>
      <w:r>
        <w:t>прослеживаемость</w:t>
      </w:r>
      <w:proofErr w:type="spellEnd"/>
      <w:r>
        <w:t xml:space="preserve"> СО к другим эталонами или артефактами, включая ССО (АСО) и СО.</w:t>
      </w:r>
    </w:p>
    <w:p w:rsidR="00000000" w:rsidRDefault="005829C2">
      <w:pPr>
        <w:pStyle w:val="FORMATTEXT"/>
        <w:ind w:firstLine="568"/>
        <w:jc w:val="both"/>
      </w:pPr>
    </w:p>
    <w:p w:rsidR="00000000" w:rsidRDefault="005829C2">
      <w:pPr>
        <w:pStyle w:val="FORMATTEXT"/>
        <w:ind w:firstLine="568"/>
        <w:jc w:val="both"/>
      </w:pPr>
      <w:r>
        <w:t>Сущ</w:t>
      </w:r>
      <w:r>
        <w:t xml:space="preserve">ествуют также условные шкалы, поддерживаемые, по крайней мере частично, посредством СО, включая, например, шкалы для рН и октанового числа бензина. Для измерений рН согласованная на международном уровне первичная реализация осуществляется через ячейку </w:t>
      </w:r>
      <w:proofErr w:type="spellStart"/>
      <w:r>
        <w:t>Гарн</w:t>
      </w:r>
      <w:r>
        <w:t>еда</w:t>
      </w:r>
      <w:proofErr w:type="spellEnd"/>
      <w:r>
        <w:t xml:space="preserve"> [26]. Часто, но не всегда условные шкалы поддерживаются, следуя установленной процедуре создания СО для установления такой шкалы. Необходимо строго следовать данной процедуре.</w:t>
      </w:r>
    </w:p>
    <w:p w:rsidR="00000000" w:rsidRDefault="005829C2">
      <w:pPr>
        <w:pStyle w:val="FORMATTEXT"/>
        <w:ind w:firstLine="568"/>
        <w:jc w:val="both"/>
      </w:pPr>
    </w:p>
    <w:p w:rsidR="00000000" w:rsidRDefault="005829C2">
      <w:pPr>
        <w:pStyle w:val="FORMATTEXT"/>
        <w:ind w:firstLine="568"/>
        <w:jc w:val="both"/>
      </w:pPr>
      <w:r>
        <w:t>Ситуация более сложная для многих матричных образцов. Хотя определение знач</w:t>
      </w:r>
      <w:r>
        <w:t xml:space="preserve">ения параметра само может иметь </w:t>
      </w:r>
      <w:proofErr w:type="spellStart"/>
      <w:r>
        <w:t>прослеживаемость</w:t>
      </w:r>
      <w:proofErr w:type="spellEnd"/>
      <w:r>
        <w:t xml:space="preserve"> к соответствующим единицам через, например, калибровку используемых средств измерений, но такие этапы, как преобразование образца из одного физического (химического) состояния в другое, - не могут. Такое пре</w:t>
      </w:r>
      <w:r>
        <w:t xml:space="preserve">образование можно только сравнить с эталоном (при его наличии) или друг с другом. Для некоторых преобразований можно определить </w:t>
      </w:r>
      <w:proofErr w:type="spellStart"/>
      <w:r>
        <w:t>референтные</w:t>
      </w:r>
      <w:proofErr w:type="spellEnd"/>
      <w:r>
        <w:t xml:space="preserve"> методы и использовать их в проектах сертификации (аттестации) для оценки неопределенности, связанной с таким преобра</w:t>
      </w:r>
      <w:r>
        <w:t>зованием. В других случаях возможно только сличение между лабораториями, использующими один и тот же метод. В этом случае имеет место сертификация (аттестация) на основе согласованности между независимыми результатами измерений (см. раздел 10).</w:t>
      </w:r>
    </w:p>
    <w:p w:rsidR="00000000" w:rsidRDefault="005829C2">
      <w:pPr>
        <w:pStyle w:val="FORMATTEXT"/>
        <w:ind w:firstLine="568"/>
        <w:jc w:val="both"/>
      </w:pPr>
    </w:p>
    <w:p w:rsidR="00000000" w:rsidRDefault="005829C2">
      <w:pPr>
        <w:pStyle w:val="FORMATTEXT"/>
        <w:ind w:firstLine="568"/>
        <w:jc w:val="both"/>
      </w:pPr>
      <w:proofErr w:type="spellStart"/>
      <w:r>
        <w:t>Прослежива</w:t>
      </w:r>
      <w:r>
        <w:t>емость</w:t>
      </w:r>
      <w:proofErr w:type="spellEnd"/>
      <w:r>
        <w:t xml:space="preserve"> результатов измерений обычно подтверждается путем проведения калибровки по соответствующим эталонам. Для многих измерительных систем, подходящих для использования в проектах сертификации (аттестации), </w:t>
      </w:r>
      <w:proofErr w:type="spellStart"/>
      <w:r>
        <w:t>прослеживаемость</w:t>
      </w:r>
      <w:proofErr w:type="spellEnd"/>
      <w:r>
        <w:t xml:space="preserve"> достигается путем калибровки ср</w:t>
      </w:r>
      <w:r>
        <w:t xml:space="preserve">едств измерений с использованием эталонов. Эти эталоны могут включать другие ССО (АСО) или СО и следует отметить, что в связи с тем, что </w:t>
      </w:r>
      <w:proofErr w:type="spellStart"/>
      <w:r>
        <w:t>прослеживаемость</w:t>
      </w:r>
      <w:proofErr w:type="spellEnd"/>
      <w:r>
        <w:t xml:space="preserve"> ССО (АСО) четко указана, их применение предпочтительно по сравнению с другими СО. Адекватность приняты</w:t>
      </w:r>
      <w:r>
        <w:t xml:space="preserve">х мер для обеспечения надлежащей калибровки оборудования и </w:t>
      </w:r>
      <w:proofErr w:type="spellStart"/>
      <w:r>
        <w:t>прослеживаемости</w:t>
      </w:r>
      <w:proofErr w:type="spellEnd"/>
      <w:r>
        <w:t xml:space="preserve"> результатов может быть проверена, например, с помощью специально разработанных и изготовленных контрольных образцов. Для этой конкретной цели эти образцы предоставляются без значен</w:t>
      </w:r>
      <w:r>
        <w:t>ия (и неопределенности), что позволяет провести оценку метода калибровки. ССО (АСО) могут также использовать для демонстрации достоверности результата, полученного в ходе измерительной кампании.</w:t>
      </w:r>
    </w:p>
    <w:p w:rsidR="00000000" w:rsidRDefault="005829C2">
      <w:pPr>
        <w:pStyle w:val="FORMATTEXT"/>
        <w:ind w:firstLine="568"/>
        <w:jc w:val="both"/>
      </w:pPr>
    </w:p>
    <w:p w:rsidR="00000000" w:rsidRDefault="005829C2">
      <w:pPr>
        <w:pStyle w:val="FORMATTEXT"/>
        <w:ind w:firstLine="568"/>
        <w:jc w:val="both"/>
      </w:pPr>
      <w:r>
        <w:lastRenderedPageBreak/>
        <w:t>Преобразование образца из одного физического (химического, б</w:t>
      </w:r>
      <w:r>
        <w:t>иологического) состояния в другое часто является важной частью метода измерений. В некоторых случаях не существует доступных вариантов подтверждения этих этапов измерительной цепи. На рисунке 5 представлены некоторые типичные варианты установления и/или по</w:t>
      </w:r>
      <w:r>
        <w:t xml:space="preserve">дтверждения </w:t>
      </w:r>
      <w:proofErr w:type="spellStart"/>
      <w:r>
        <w:t>прослеживаемости</w:t>
      </w:r>
      <w:proofErr w:type="spellEnd"/>
      <w:r>
        <w:t xml:space="preserve"> результата измерений [27], [28].</w:t>
      </w:r>
    </w:p>
    <w:p w:rsidR="00000000" w:rsidRDefault="005829C2">
      <w:pPr>
        <w:pStyle w:val="FORMATTEXT"/>
        <w:ind w:firstLine="568"/>
        <w:jc w:val="both"/>
      </w:pPr>
    </w:p>
    <w:p w:rsidR="00000000" w:rsidRDefault="005829C2">
      <w:pPr>
        <w:pStyle w:val="FORMATTEXT"/>
        <w:ind w:firstLine="568"/>
        <w:jc w:val="both"/>
      </w:pPr>
      <w:r>
        <w:t>Матричные ССО (АСО), матричные СО и образцы для контроля качества (КК) могут использовать для демонстрации достоверности результата измерений при измерении параллельно с неизвестной пробой. Эти</w:t>
      </w:r>
      <w:r>
        <w:t xml:space="preserve"> материалы могут использовать для подтверждения </w:t>
      </w:r>
      <w:proofErr w:type="spellStart"/>
      <w:r>
        <w:t>прослеживаемости</w:t>
      </w:r>
      <w:proofErr w:type="spellEnd"/>
      <w:r>
        <w:t xml:space="preserve"> материалов, но не для прямой демонстрации. Они демонстрируют до определенной степени (более подробную информацию см., например, в ISO </w:t>
      </w:r>
      <w:proofErr w:type="spellStart"/>
      <w:r>
        <w:t>Guide</w:t>
      </w:r>
      <w:proofErr w:type="spellEnd"/>
      <w:r>
        <w:t xml:space="preserve"> 33 [9]) контроль за измерениями, который является н</w:t>
      </w:r>
      <w:r>
        <w:t xml:space="preserve">еобходимой предпосылкой достижения </w:t>
      </w:r>
      <w:proofErr w:type="spellStart"/>
      <w:r>
        <w:t>прослеживаемости</w:t>
      </w:r>
      <w:proofErr w:type="spellEnd"/>
      <w:r>
        <w:t xml:space="preserve"> результатов, используемых для (сертификации) аттестации исходного материала СО.</w:t>
      </w:r>
    </w:p>
    <w:p w:rsidR="00000000" w:rsidRDefault="005829C2">
      <w:pPr>
        <w:pStyle w:val="FORMATTEXT"/>
        <w:ind w:firstLine="568"/>
        <w:jc w:val="both"/>
      </w:pPr>
    </w:p>
    <w:p w:rsidR="00000000" w:rsidRDefault="005829C2">
      <w:pPr>
        <w:pStyle w:val="FORMATTEXT"/>
        <w:ind w:firstLine="568"/>
        <w:jc w:val="both"/>
      </w:pPr>
      <w:r>
        <w:t>"Холостые матрицы", "холостые экстракты" и т.д. могут использовать для демонстрации способности метода измерений давать рез</w:t>
      </w:r>
      <w:r>
        <w:t>ультат, незначительно отличающийся от нуля в тех случаях, когда отсутствует представляющая интерес характеристика (что часто имеет место при измерениях состава) или для установления поправки или поправочного коэффициента (+ неопределенность).</w:t>
      </w:r>
    </w:p>
    <w:p w:rsidR="00000000" w:rsidRDefault="005829C2">
      <w:pPr>
        <w:pStyle w:val="FORMATTEXT"/>
        <w:ind w:firstLine="568"/>
        <w:jc w:val="both"/>
      </w:pPr>
    </w:p>
    <w:p w:rsidR="00000000" w:rsidRDefault="005829C2">
      <w:pPr>
        <w:pStyle w:val="FORMATTEXT"/>
        <w:ind w:firstLine="568"/>
        <w:jc w:val="both"/>
      </w:pPr>
      <w:r>
        <w:t>Калибровку д</w:t>
      </w:r>
      <w:r>
        <w:t xml:space="preserve">олжны проводить с применением эталонов, имеющих </w:t>
      </w:r>
      <w:proofErr w:type="spellStart"/>
      <w:r>
        <w:t>прослеживаемость</w:t>
      </w:r>
      <w:proofErr w:type="spellEnd"/>
      <w:r>
        <w:t xml:space="preserve"> к соответствующим опорным значениям. Для этой цели могут использоваться ССО (АСО) при условии, что они подходят для этой цели. Калибровка должна быть основана на точных измерениях, чтобы не в</w:t>
      </w:r>
      <w:r>
        <w:t>носить излишнюю дополнительную неопределенность. Опорным значением может быть единица СИ (например, для измерений состава и многих физических свойств) или условная шкала (например, для характеристик, обусловленных методом).</w:t>
      </w:r>
    </w:p>
    <w:p w:rsidR="00000000" w:rsidRDefault="005829C2">
      <w:pPr>
        <w:pStyle w:val="FORMATTEXT"/>
        <w:ind w:firstLine="568"/>
        <w:jc w:val="both"/>
      </w:pPr>
    </w:p>
    <w:p w:rsidR="00000000" w:rsidRDefault="00862BD0">
      <w:pPr>
        <w:pStyle w:val="TOPLEVELTEXT"/>
        <w:jc w:val="center"/>
      </w:pPr>
      <w:r>
        <w:rPr>
          <w:noProof/>
          <w:position w:val="-211"/>
        </w:rPr>
        <w:drawing>
          <wp:inline distT="0" distB="0" distL="0" distR="0">
            <wp:extent cx="4648200" cy="5372100"/>
            <wp:effectExtent l="0" t="0" r="0" b="0"/>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648200" cy="5372100"/>
                    </a:xfrm>
                    <a:prstGeom prst="rect">
                      <a:avLst/>
                    </a:prstGeom>
                    <a:noFill/>
                    <a:ln>
                      <a:noFill/>
                    </a:ln>
                  </pic:spPr>
                </pic:pic>
              </a:graphicData>
            </a:graphic>
          </wp:inline>
        </w:drawing>
      </w:r>
    </w:p>
    <w:p w:rsidR="00000000" w:rsidRDefault="005829C2">
      <w:pPr>
        <w:pStyle w:val="FORMATTEXT"/>
        <w:jc w:val="center"/>
      </w:pPr>
    </w:p>
    <w:p w:rsidR="00000000" w:rsidRDefault="005829C2">
      <w:pPr>
        <w:pStyle w:val="FORMATTEXT"/>
        <w:jc w:val="center"/>
      </w:pPr>
      <w:r>
        <w:lastRenderedPageBreak/>
        <w:t xml:space="preserve">Рисунок 5 - Часть измерительной цепи </w:t>
      </w:r>
    </w:p>
    <w:p w:rsidR="00000000" w:rsidRDefault="005829C2">
      <w:pPr>
        <w:pStyle w:val="FORMATTEXT"/>
        <w:ind w:firstLine="568"/>
        <w:jc w:val="both"/>
      </w:pPr>
      <w:r>
        <w:t xml:space="preserve">Добавки, "холостые" пробы-добавки и т.п. могут использовать для исследования каких-либо частей измерительной цепи или при приписывании значений образцу. Степень, с которой это устанавливает или демонстрирует </w:t>
      </w:r>
      <w:proofErr w:type="spellStart"/>
      <w:r>
        <w:t>про</w:t>
      </w:r>
      <w:r>
        <w:t>слеживаемость</w:t>
      </w:r>
      <w:proofErr w:type="spellEnd"/>
      <w:r>
        <w:t>, зависит от того, как эти пробы-добавки приготовлены и как приписаны их значения.</w:t>
      </w:r>
    </w:p>
    <w:p w:rsidR="00000000" w:rsidRDefault="005829C2">
      <w:pPr>
        <w:pStyle w:val="FORMATTEXT"/>
        <w:ind w:firstLine="568"/>
        <w:jc w:val="both"/>
      </w:pPr>
    </w:p>
    <w:p w:rsidR="00000000" w:rsidRDefault="005829C2">
      <w:pPr>
        <w:pStyle w:val="FORMATTEXT"/>
        <w:ind w:firstLine="568"/>
        <w:jc w:val="both"/>
      </w:pPr>
      <w:r>
        <w:t xml:space="preserve">Другие аспекты, которые, возможно, необходимо контролировать для установления и/или демонстрации </w:t>
      </w:r>
      <w:proofErr w:type="spellStart"/>
      <w:r>
        <w:t>прослеживаемости</w:t>
      </w:r>
      <w:proofErr w:type="spellEnd"/>
      <w:r>
        <w:t xml:space="preserve"> результатов измерений, включают:</w:t>
      </w:r>
    </w:p>
    <w:p w:rsidR="00000000" w:rsidRDefault="005829C2">
      <w:pPr>
        <w:pStyle w:val="FORMATTEXT"/>
        <w:ind w:firstLine="568"/>
        <w:jc w:val="both"/>
      </w:pPr>
    </w:p>
    <w:p w:rsidR="00000000" w:rsidRDefault="005829C2">
      <w:pPr>
        <w:pStyle w:val="FORMATTEXT"/>
        <w:ind w:firstLine="568"/>
        <w:jc w:val="both"/>
      </w:pPr>
      <w:r>
        <w:t>- взвешиван</w:t>
      </w:r>
      <w:r>
        <w:t>ие пробы;</w:t>
      </w:r>
    </w:p>
    <w:p w:rsidR="00000000" w:rsidRDefault="005829C2">
      <w:pPr>
        <w:pStyle w:val="FORMATTEXT"/>
        <w:ind w:firstLine="568"/>
        <w:jc w:val="both"/>
      </w:pPr>
    </w:p>
    <w:p w:rsidR="00000000" w:rsidRDefault="005829C2">
      <w:pPr>
        <w:pStyle w:val="FORMATTEXT"/>
        <w:ind w:firstLine="568"/>
        <w:jc w:val="both"/>
      </w:pPr>
      <w:r>
        <w:t>- чистоту реактивов, растворителей, "чистых материалов";</w:t>
      </w:r>
    </w:p>
    <w:p w:rsidR="00000000" w:rsidRDefault="005829C2">
      <w:pPr>
        <w:pStyle w:val="FORMATTEXT"/>
        <w:ind w:firstLine="568"/>
        <w:jc w:val="both"/>
      </w:pPr>
    </w:p>
    <w:p w:rsidR="00000000" w:rsidRDefault="005829C2">
      <w:pPr>
        <w:pStyle w:val="FORMATTEXT"/>
        <w:ind w:firstLine="568"/>
        <w:jc w:val="both"/>
      </w:pPr>
      <w:r>
        <w:t>- статус калибровки повседневного лабораторного оборудования и посуды;</w:t>
      </w:r>
    </w:p>
    <w:p w:rsidR="00000000" w:rsidRDefault="005829C2">
      <w:pPr>
        <w:pStyle w:val="FORMATTEXT"/>
        <w:ind w:firstLine="568"/>
        <w:jc w:val="both"/>
      </w:pPr>
    </w:p>
    <w:p w:rsidR="00000000" w:rsidRDefault="005829C2">
      <w:pPr>
        <w:pStyle w:val="FORMATTEXT"/>
        <w:ind w:firstLine="568"/>
        <w:jc w:val="both"/>
      </w:pPr>
      <w:r>
        <w:t>- помехи в измерительном сигнале;</w:t>
      </w:r>
    </w:p>
    <w:p w:rsidR="00000000" w:rsidRDefault="005829C2">
      <w:pPr>
        <w:pStyle w:val="FORMATTEXT"/>
        <w:ind w:firstLine="568"/>
        <w:jc w:val="both"/>
      </w:pPr>
    </w:p>
    <w:p w:rsidR="00000000" w:rsidRDefault="005829C2">
      <w:pPr>
        <w:pStyle w:val="FORMATTEXT"/>
        <w:ind w:firstLine="568"/>
        <w:jc w:val="both"/>
      </w:pPr>
      <w:r>
        <w:t>- подходящие и обоснованные статистические/математические методы для произведени</w:t>
      </w:r>
      <w:r>
        <w:t xml:space="preserve">я расчетов (например, </w:t>
      </w:r>
      <w:proofErr w:type="spellStart"/>
      <w:r>
        <w:t>градуировочных</w:t>
      </w:r>
      <w:proofErr w:type="spellEnd"/>
      <w:r>
        <w:t xml:space="preserve"> кривых, интерполяций);</w:t>
      </w:r>
    </w:p>
    <w:p w:rsidR="00000000" w:rsidRDefault="005829C2">
      <w:pPr>
        <w:pStyle w:val="FORMATTEXT"/>
        <w:ind w:firstLine="568"/>
        <w:jc w:val="both"/>
      </w:pPr>
    </w:p>
    <w:p w:rsidR="00000000" w:rsidRDefault="005829C2">
      <w:pPr>
        <w:pStyle w:val="FORMATTEXT"/>
        <w:ind w:firstLine="568"/>
        <w:jc w:val="both"/>
      </w:pPr>
      <w:r>
        <w:t>- загрязнения, потери, недостатки в измерительном процессе.</w:t>
      </w:r>
    </w:p>
    <w:p w:rsidR="00000000" w:rsidRDefault="005829C2">
      <w:pPr>
        <w:pStyle w:val="FORMATTEXT"/>
        <w:ind w:firstLine="568"/>
        <w:jc w:val="both"/>
      </w:pPr>
    </w:p>
    <w:p w:rsidR="00000000" w:rsidRDefault="005829C2">
      <w:pPr>
        <w:pStyle w:val="FORMATTEXT"/>
        <w:ind w:firstLine="568"/>
        <w:jc w:val="both"/>
      </w:pPr>
      <w:r>
        <w:t>Это все аспекты, которые могут быть подвергнуты надлежащему контролю путем подтверждения правильности метода. Правильность любого мето</w:t>
      </w:r>
      <w:r>
        <w:t xml:space="preserve">да, применяемого в проекте сертификации (аттестации), должна быть надлежащим образом подтверждена и должно быть представлено соответствие любого результата, полученного этим методом, требованиям, установленным в процессе подтверждения правильности метода. </w:t>
      </w:r>
      <w:r>
        <w:t xml:space="preserve">Лабораторное сравнение может быть частью </w:t>
      </w:r>
      <w:proofErr w:type="spellStart"/>
      <w:r>
        <w:t>валидации</w:t>
      </w:r>
      <w:proofErr w:type="spellEnd"/>
      <w:r>
        <w:t xml:space="preserve"> метода. Для условных методов (например, при определении параметров, зависящих от метода) необходима межлабораторная </w:t>
      </w:r>
      <w:proofErr w:type="spellStart"/>
      <w:r>
        <w:t>валидация</w:t>
      </w:r>
      <w:proofErr w:type="spellEnd"/>
      <w:r>
        <w:t xml:space="preserve"> метода; для других методов также настоятельно рекомендуется межлабораторная </w:t>
      </w:r>
      <w:proofErr w:type="spellStart"/>
      <w:r>
        <w:t>вал</w:t>
      </w:r>
      <w:r>
        <w:t>идация</w:t>
      </w:r>
      <w:proofErr w:type="spellEnd"/>
      <w:r>
        <w:t xml:space="preserve"> метода.</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9.3 Практические подходы </w:t>
      </w:r>
    </w:p>
    <w:p w:rsidR="00000000" w:rsidRDefault="005829C2">
      <w:pPr>
        <w:pStyle w:val="FORMATTEXT"/>
        <w:ind w:firstLine="568"/>
        <w:jc w:val="both"/>
      </w:pPr>
      <w:r>
        <w:t xml:space="preserve">Разрабатываемый ССО (АСО) обычно характеризуется по точности, если это технически возможно. Так, сертифицированное (аттестованное) значение обычно представляет собой наилучшую оценку "истинного" значения. В </w:t>
      </w:r>
      <w:r>
        <w:t xml:space="preserve">некоторых случаях измерения невозможно </w:t>
      </w:r>
      <w:proofErr w:type="gramStart"/>
      <w:r>
        <w:t>представить</w:t>
      </w:r>
      <w:proofErr w:type="gramEnd"/>
      <w:r>
        <w:t xml:space="preserve"> как "истинное значение", поэтому принимается приписанное значение параметра для использования с указанным методом. Тогда при сертификации (аттестации) СО требуется не измерительная операция, а только указа</w:t>
      </w:r>
      <w:r>
        <w:t xml:space="preserve">ние приписанного значения и метода измерений, для которого ССО (АСО) является </w:t>
      </w:r>
      <w:proofErr w:type="spellStart"/>
      <w:r>
        <w:t>калибрантом</w:t>
      </w:r>
      <w:proofErr w:type="spellEnd"/>
      <w:r>
        <w:t>.</w:t>
      </w:r>
    </w:p>
    <w:p w:rsidR="00000000" w:rsidRDefault="005829C2">
      <w:pPr>
        <w:pStyle w:val="FORMATTEXT"/>
        <w:ind w:firstLine="568"/>
        <w:jc w:val="both"/>
      </w:pPr>
    </w:p>
    <w:p w:rsidR="00000000" w:rsidRDefault="005829C2">
      <w:pPr>
        <w:pStyle w:val="FORMATTEXT"/>
        <w:ind w:firstLine="568"/>
        <w:jc w:val="both"/>
      </w:pPr>
      <w:r>
        <w:t>Предполагается, что сертифицированные (аттестованные) значения не отклоняются от "истинного" значения более чем на значение установленной неопределенности измерений</w:t>
      </w:r>
      <w:r>
        <w:t>. Установленная неопределенность значения параметра должна учитывать все систематические и случайные эффекты, свойственные процессу измерений, а также изменения материала между пробами (однородность) и во времени (стабильность).</w:t>
      </w:r>
    </w:p>
    <w:p w:rsidR="00000000" w:rsidRDefault="005829C2">
      <w:pPr>
        <w:pStyle w:val="FORMATTEXT"/>
        <w:ind w:firstLine="568"/>
        <w:jc w:val="both"/>
      </w:pPr>
    </w:p>
    <w:p w:rsidR="00000000" w:rsidRDefault="005829C2">
      <w:pPr>
        <w:pStyle w:val="FORMATTEXT"/>
        <w:ind w:firstLine="568"/>
        <w:jc w:val="both"/>
      </w:pPr>
      <w:r>
        <w:t xml:space="preserve">В ISO </w:t>
      </w:r>
      <w:proofErr w:type="spellStart"/>
      <w:r>
        <w:t>Guide</w:t>
      </w:r>
      <w:proofErr w:type="spellEnd"/>
      <w:r>
        <w:t xml:space="preserve"> 34 [10] различ</w:t>
      </w:r>
      <w:r>
        <w:t xml:space="preserve">аются четыре основных подхода к </w:t>
      </w:r>
      <w:proofErr w:type="spellStart"/>
      <w:r>
        <w:t>характеризации</w:t>
      </w:r>
      <w:proofErr w:type="spellEnd"/>
      <w:r>
        <w:t>, которые используют изготовители СО и органы по сертификации (аттестующие органы) в различных вариантах, а именно:</w:t>
      </w:r>
    </w:p>
    <w:p w:rsidR="00000000" w:rsidRDefault="005829C2">
      <w:pPr>
        <w:pStyle w:val="FORMATTEXT"/>
        <w:ind w:firstLine="568"/>
        <w:jc w:val="both"/>
      </w:pPr>
    </w:p>
    <w:p w:rsidR="00000000" w:rsidRDefault="005829C2">
      <w:pPr>
        <w:pStyle w:val="FORMATTEXT"/>
        <w:ind w:firstLine="568"/>
        <w:jc w:val="both"/>
      </w:pPr>
      <w:r>
        <w:t>a) измерение одним (первичным) методом в одной лаборатории;</w:t>
      </w:r>
    </w:p>
    <w:p w:rsidR="00000000" w:rsidRDefault="005829C2">
      <w:pPr>
        <w:pStyle w:val="FORMATTEXT"/>
        <w:ind w:firstLine="568"/>
        <w:jc w:val="both"/>
      </w:pPr>
    </w:p>
    <w:p w:rsidR="00000000" w:rsidRDefault="005829C2">
      <w:pPr>
        <w:pStyle w:val="FORMATTEXT"/>
        <w:ind w:firstLine="568"/>
        <w:jc w:val="both"/>
      </w:pPr>
      <w:r>
        <w:t>b) измерение двумя или нескольки</w:t>
      </w:r>
      <w:r>
        <w:t xml:space="preserve">ми независимыми </w:t>
      </w:r>
      <w:proofErr w:type="spellStart"/>
      <w:r>
        <w:t>референтными</w:t>
      </w:r>
      <w:proofErr w:type="spellEnd"/>
      <w:r>
        <w:t xml:space="preserve"> методами в одной лаборатории;</w:t>
      </w:r>
    </w:p>
    <w:p w:rsidR="00000000" w:rsidRDefault="005829C2">
      <w:pPr>
        <w:pStyle w:val="FORMATTEXT"/>
        <w:ind w:firstLine="568"/>
        <w:jc w:val="both"/>
      </w:pPr>
    </w:p>
    <w:p w:rsidR="00000000" w:rsidRDefault="005829C2">
      <w:pPr>
        <w:pStyle w:val="FORMATTEXT"/>
        <w:ind w:firstLine="568"/>
        <w:jc w:val="both"/>
      </w:pPr>
      <w:r>
        <w:t>c) измерения через сеть лабораторий с использованием одного или нескольких методов демонстрируемой точности;</w:t>
      </w:r>
    </w:p>
    <w:p w:rsidR="00000000" w:rsidRDefault="005829C2">
      <w:pPr>
        <w:pStyle w:val="FORMATTEXT"/>
        <w:ind w:firstLine="568"/>
        <w:jc w:val="both"/>
      </w:pPr>
    </w:p>
    <w:p w:rsidR="00000000" w:rsidRDefault="005829C2">
      <w:pPr>
        <w:pStyle w:val="FORMATTEXT"/>
        <w:ind w:firstLine="568"/>
        <w:jc w:val="both"/>
      </w:pPr>
      <w:r>
        <w:t>d) ограниченный методом подход, дающий только ограниченную методом оценку значений пар</w:t>
      </w:r>
      <w:r>
        <w:t>аметров с участием сети лабораторий.</w:t>
      </w:r>
    </w:p>
    <w:p w:rsidR="00000000" w:rsidRDefault="005829C2">
      <w:pPr>
        <w:pStyle w:val="FORMATTEXT"/>
        <w:ind w:firstLine="568"/>
        <w:jc w:val="both"/>
      </w:pPr>
    </w:p>
    <w:p w:rsidR="00000000" w:rsidRDefault="005829C2">
      <w:pPr>
        <w:pStyle w:val="FORMATTEXT"/>
        <w:ind w:firstLine="568"/>
        <w:jc w:val="both"/>
      </w:pPr>
      <w:r>
        <w:t xml:space="preserve">Наиболее важным аспектом, который следует рассмотреть при выборе подхода к сертификации (аттестации), является степень, с которой различные составляющие неопределенности будут вносить вклад в неопределенность значения </w:t>
      </w:r>
      <w:r>
        <w:t xml:space="preserve">параметра. Кроме того, важно, чтобы были представлены </w:t>
      </w:r>
      <w:r>
        <w:lastRenderedPageBreak/>
        <w:t xml:space="preserve">приписываемое значение параметра и его неопределенность. </w:t>
      </w:r>
      <w:proofErr w:type="gramStart"/>
      <w:r>
        <w:t>Подход</w:t>
      </w:r>
      <w:proofErr w:type="gramEnd"/>
      <w:r>
        <w:t xml:space="preserve"> а) для сертификации (аттестации) часто ограничен теми случаями, когда имеет место градуировка по артефакту. Для сертификации (аттестации) </w:t>
      </w:r>
      <w:r>
        <w:t xml:space="preserve">химических составов в 9.5.2 дан типичный пример обоснованности </w:t>
      </w:r>
      <w:proofErr w:type="gramStart"/>
      <w:r>
        <w:t>подхода</w:t>
      </w:r>
      <w:proofErr w:type="gramEnd"/>
      <w:r>
        <w:t xml:space="preserve"> а). Для большинства матричных ССО (АСО) </w:t>
      </w:r>
      <w:proofErr w:type="gramStart"/>
      <w:r>
        <w:t>подход</w:t>
      </w:r>
      <w:proofErr w:type="gramEnd"/>
      <w:r>
        <w:t xml:space="preserve"> а) связан с риском упустить матричные эффекты и/или влияния. Для этих ССО (АСО) рекомендуется иметь не менее двух независимых результатов,</w:t>
      </w:r>
      <w:r>
        <w:t xml:space="preserve"> полученных независимыми (первичными) методами от различных групп, для того чтобы свести к минимуму такой риск. Выбор наилучшего режима для </w:t>
      </w:r>
      <w:proofErr w:type="spellStart"/>
      <w:r>
        <w:t>характеризации</w:t>
      </w:r>
      <w:proofErr w:type="spellEnd"/>
      <w:r>
        <w:t xml:space="preserve"> СО зависит, таким образом, как от имеющихся методов, так и от матрицы СО.</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9.4 Схема измерений</w:t>
      </w:r>
      <w:r>
        <w:rPr>
          <w:b/>
          <w:bCs/>
          <w:color w:val="000001"/>
        </w:rPr>
        <w:t xml:space="preserve"> </w:t>
      </w:r>
    </w:p>
    <w:p w:rsidR="00000000" w:rsidRDefault="005829C2">
      <w:pPr>
        <w:pStyle w:val="FORMATTEXT"/>
        <w:ind w:firstLine="568"/>
        <w:jc w:val="both"/>
      </w:pPr>
      <w:r>
        <w:rPr>
          <w:b/>
          <w:bCs/>
        </w:rPr>
        <w:t>9.4.1 Измерения одним или</w:t>
      </w:r>
      <w:r>
        <w:t xml:space="preserve"> </w:t>
      </w:r>
      <w:r>
        <w:rPr>
          <w:b/>
          <w:bCs/>
        </w:rPr>
        <w:t>несколькими (</w:t>
      </w:r>
      <w:proofErr w:type="spellStart"/>
      <w:r>
        <w:rPr>
          <w:b/>
          <w:bCs/>
        </w:rPr>
        <w:t>референтными</w:t>
      </w:r>
      <w:proofErr w:type="spellEnd"/>
      <w:r>
        <w:rPr>
          <w:b/>
          <w:bCs/>
        </w:rPr>
        <w:t>) методами в одной</w:t>
      </w:r>
      <w:r>
        <w:t xml:space="preserve"> </w:t>
      </w:r>
      <w:r>
        <w:rPr>
          <w:b/>
          <w:bCs/>
        </w:rPr>
        <w:t>лаборатории</w:t>
      </w:r>
    </w:p>
    <w:p w:rsidR="00000000" w:rsidRDefault="005829C2">
      <w:pPr>
        <w:pStyle w:val="FORMATTEXT"/>
        <w:ind w:firstLine="568"/>
        <w:jc w:val="both"/>
      </w:pPr>
    </w:p>
    <w:p w:rsidR="00000000" w:rsidRDefault="005829C2">
      <w:pPr>
        <w:pStyle w:val="FORMATTEXT"/>
        <w:ind w:firstLine="568"/>
        <w:jc w:val="both"/>
      </w:pPr>
      <w:r>
        <w:t xml:space="preserve">Важную группу методов измерения, которые можно использовать прежде всего для </w:t>
      </w:r>
      <w:proofErr w:type="gramStart"/>
      <w:r>
        <w:t>подхода</w:t>
      </w:r>
      <w:proofErr w:type="gramEnd"/>
      <w:r>
        <w:t xml:space="preserve"> а), но, безусловно, также и для подхода b), составляют первичные методы измерения. В о</w:t>
      </w:r>
      <w:r>
        <w:t>бласти химических измерений такой метод определен консультативным комитетом по количеству вещества следующим образом [29]:</w:t>
      </w:r>
    </w:p>
    <w:p w:rsidR="00000000" w:rsidRDefault="005829C2">
      <w:pPr>
        <w:pStyle w:val="FORMATTEXT"/>
        <w:ind w:firstLine="568"/>
        <w:jc w:val="both"/>
      </w:pPr>
    </w:p>
    <w:p w:rsidR="00000000" w:rsidRDefault="005829C2">
      <w:pPr>
        <w:pStyle w:val="FORMATTEXT"/>
        <w:ind w:firstLine="568"/>
        <w:jc w:val="both"/>
      </w:pPr>
      <w:r>
        <w:t>"Первичный метод измерения - это метод, имеющий наивысшие метрологические свойства, реализация которого может быть полностью описана</w:t>
      </w:r>
      <w:r>
        <w:t xml:space="preserve"> и понята и для которого может быть указана полная неопределенность в единицах СИ.</w:t>
      </w:r>
    </w:p>
    <w:p w:rsidR="00000000" w:rsidRDefault="005829C2">
      <w:pPr>
        <w:pStyle w:val="FORMATTEXT"/>
        <w:ind w:firstLine="568"/>
        <w:jc w:val="both"/>
      </w:pPr>
    </w:p>
    <w:p w:rsidR="00000000" w:rsidRDefault="005829C2">
      <w:pPr>
        <w:pStyle w:val="FORMATTEXT"/>
        <w:ind w:firstLine="568"/>
        <w:jc w:val="both"/>
      </w:pPr>
      <w:r>
        <w:t>Первичный прямой метод измеряет значение неизвестного без ссылки на эталон единицы той же самой физической величины.</w:t>
      </w:r>
    </w:p>
    <w:p w:rsidR="00000000" w:rsidRDefault="005829C2">
      <w:pPr>
        <w:pStyle w:val="FORMATTEXT"/>
        <w:ind w:firstLine="568"/>
        <w:jc w:val="both"/>
      </w:pPr>
    </w:p>
    <w:p w:rsidR="00000000" w:rsidRDefault="005829C2">
      <w:pPr>
        <w:pStyle w:val="FORMATTEXT"/>
        <w:ind w:firstLine="568"/>
        <w:jc w:val="both"/>
      </w:pPr>
      <w:r>
        <w:t>Первичный метод, основанный на измерении отношения, из</w:t>
      </w:r>
      <w:r>
        <w:t>меряет значение отношения неизвестного к эталону единицы той же самой величины, его действие может быть полностью описано с помощью уравнения измерения".</w:t>
      </w:r>
    </w:p>
    <w:p w:rsidR="00000000" w:rsidRDefault="005829C2">
      <w:pPr>
        <w:pStyle w:val="FORMATTEXT"/>
        <w:ind w:firstLine="568"/>
        <w:jc w:val="both"/>
      </w:pPr>
    </w:p>
    <w:p w:rsidR="00000000" w:rsidRDefault="005829C2">
      <w:pPr>
        <w:pStyle w:val="FORMATTEXT"/>
        <w:ind w:firstLine="568"/>
        <w:jc w:val="both"/>
      </w:pPr>
      <w:r>
        <w:t>Из этого определения следует, что одна из стратегий приписывания значения СО заключается в использова</w:t>
      </w:r>
      <w:r>
        <w:t xml:space="preserve">нии первичного метода измерений [30]. Но не всегда можно использовать первичные методы измерений, так как они существуют не для всех величин. Для многих СО измерение исследуемой величины настолько сложно, что его невозможно описать до той степени, которая </w:t>
      </w:r>
      <w:r>
        <w:t>необходима для установления полной неопределенности в единицах СИ.</w:t>
      </w:r>
    </w:p>
    <w:p w:rsidR="00000000" w:rsidRDefault="005829C2">
      <w:pPr>
        <w:pStyle w:val="FORMATTEXT"/>
        <w:ind w:firstLine="568"/>
        <w:jc w:val="both"/>
      </w:pPr>
    </w:p>
    <w:p w:rsidR="00000000" w:rsidRDefault="005829C2">
      <w:pPr>
        <w:pStyle w:val="FORMATTEXT"/>
        <w:ind w:firstLine="568"/>
        <w:jc w:val="both"/>
      </w:pPr>
      <w:r>
        <w:t>Консультативный комитет по количеству вещества определил несколько методов с потенциалом первичных методов измерений [31]:</w:t>
      </w:r>
    </w:p>
    <w:p w:rsidR="00000000" w:rsidRDefault="005829C2">
      <w:pPr>
        <w:pStyle w:val="FORMATTEXT"/>
        <w:ind w:firstLine="568"/>
        <w:jc w:val="both"/>
      </w:pPr>
    </w:p>
    <w:p w:rsidR="00000000" w:rsidRDefault="005829C2">
      <w:pPr>
        <w:pStyle w:val="FORMATTEXT"/>
        <w:ind w:firstLine="568"/>
        <w:jc w:val="both"/>
      </w:pPr>
      <w:r>
        <w:t>- масс-спектрометрия с изотопным разбавлением (IDMS);</w:t>
      </w:r>
    </w:p>
    <w:p w:rsidR="00000000" w:rsidRDefault="005829C2">
      <w:pPr>
        <w:pStyle w:val="FORMATTEXT"/>
        <w:ind w:firstLine="568"/>
        <w:jc w:val="both"/>
      </w:pPr>
    </w:p>
    <w:p w:rsidR="00000000" w:rsidRDefault="005829C2">
      <w:pPr>
        <w:pStyle w:val="FORMATTEXT"/>
        <w:ind w:firstLine="568"/>
        <w:jc w:val="both"/>
      </w:pPr>
      <w:r>
        <w:t>- </w:t>
      </w:r>
      <w:proofErr w:type="spellStart"/>
      <w:r>
        <w:t>кулоном</w:t>
      </w:r>
      <w:r>
        <w:t>етрия</w:t>
      </w:r>
      <w:proofErr w:type="spellEnd"/>
      <w:r>
        <w:t>;</w:t>
      </w:r>
    </w:p>
    <w:p w:rsidR="00000000" w:rsidRDefault="005829C2">
      <w:pPr>
        <w:pStyle w:val="FORMATTEXT"/>
        <w:ind w:firstLine="568"/>
        <w:jc w:val="both"/>
      </w:pPr>
    </w:p>
    <w:p w:rsidR="00000000" w:rsidRDefault="005829C2">
      <w:pPr>
        <w:pStyle w:val="FORMATTEXT"/>
        <w:ind w:firstLine="568"/>
        <w:jc w:val="both"/>
      </w:pPr>
      <w:r>
        <w:t>- гравиметрия;</w:t>
      </w:r>
    </w:p>
    <w:p w:rsidR="00000000" w:rsidRDefault="005829C2">
      <w:pPr>
        <w:pStyle w:val="FORMATTEXT"/>
        <w:ind w:firstLine="568"/>
        <w:jc w:val="both"/>
      </w:pPr>
    </w:p>
    <w:p w:rsidR="00000000" w:rsidRDefault="005829C2">
      <w:pPr>
        <w:pStyle w:val="FORMATTEXT"/>
        <w:ind w:firstLine="568"/>
        <w:jc w:val="both"/>
      </w:pPr>
      <w:r>
        <w:t>- </w:t>
      </w:r>
      <w:proofErr w:type="spellStart"/>
      <w:r>
        <w:t>титрометрия</w:t>
      </w:r>
      <w:proofErr w:type="spellEnd"/>
      <w:r>
        <w:t>;</w:t>
      </w:r>
    </w:p>
    <w:p w:rsidR="00000000" w:rsidRDefault="005829C2">
      <w:pPr>
        <w:pStyle w:val="FORMATTEXT"/>
        <w:ind w:firstLine="568"/>
        <w:jc w:val="both"/>
      </w:pPr>
    </w:p>
    <w:p w:rsidR="00000000" w:rsidRDefault="005829C2">
      <w:pPr>
        <w:pStyle w:val="FORMATTEXT"/>
        <w:ind w:firstLine="568"/>
        <w:jc w:val="both"/>
      </w:pPr>
      <w:r>
        <w:t>- определение понижения температуры замерзания.</w:t>
      </w:r>
    </w:p>
    <w:p w:rsidR="00000000" w:rsidRDefault="005829C2">
      <w:pPr>
        <w:pStyle w:val="FORMATTEXT"/>
        <w:ind w:firstLine="568"/>
        <w:jc w:val="both"/>
      </w:pPr>
    </w:p>
    <w:p w:rsidR="00000000" w:rsidRDefault="005829C2">
      <w:pPr>
        <w:pStyle w:val="FORMATTEXT"/>
        <w:ind w:firstLine="568"/>
        <w:jc w:val="both"/>
      </w:pPr>
      <w:r>
        <w:t>Примечание - Ожидается, что этот перечень со временем будет расширен.</w:t>
      </w:r>
    </w:p>
    <w:p w:rsidR="00000000" w:rsidRDefault="005829C2">
      <w:pPr>
        <w:pStyle w:val="FORMATTEXT"/>
        <w:ind w:firstLine="568"/>
        <w:jc w:val="both"/>
      </w:pPr>
    </w:p>
    <w:p w:rsidR="00000000" w:rsidRDefault="005829C2">
      <w:pPr>
        <w:pStyle w:val="FORMATTEXT"/>
        <w:ind w:firstLine="568"/>
        <w:jc w:val="both"/>
      </w:pPr>
      <w:r>
        <w:t>Гравиметрия широко используется как метод приготовления газовых смесей [32] и растворов. Понижен</w:t>
      </w:r>
      <w:r>
        <w:t>ие точки замерзания можно использовать как прямой метод определения чистоты (как доли количества вещества) материала [33]. Изотопное разбавление с масс-спектрометрией широко используется как метод приписывания значений материалам и для других целей при выс</w:t>
      </w:r>
      <w:r>
        <w:t>окоточных измерениях.</w:t>
      </w:r>
    </w:p>
    <w:p w:rsidR="00000000" w:rsidRDefault="005829C2">
      <w:pPr>
        <w:pStyle w:val="FORMATTEXT"/>
        <w:ind w:firstLine="568"/>
        <w:jc w:val="both"/>
      </w:pPr>
    </w:p>
    <w:p w:rsidR="00000000" w:rsidRDefault="005829C2">
      <w:pPr>
        <w:pStyle w:val="FORMATTEXT"/>
        <w:ind w:firstLine="568"/>
        <w:jc w:val="both"/>
      </w:pPr>
      <w:r>
        <w:rPr>
          <w:b/>
          <w:bCs/>
        </w:rPr>
        <w:t>9.4.2 Стратегия привлечения нескольких лабораторий</w:t>
      </w:r>
    </w:p>
    <w:p w:rsidR="00000000" w:rsidRDefault="005829C2">
      <w:pPr>
        <w:pStyle w:val="FORMATTEXT"/>
        <w:ind w:firstLine="568"/>
        <w:jc w:val="both"/>
      </w:pPr>
    </w:p>
    <w:p w:rsidR="00000000" w:rsidRDefault="005829C2">
      <w:pPr>
        <w:pStyle w:val="FORMATTEXT"/>
        <w:ind w:firstLine="568"/>
        <w:jc w:val="both"/>
      </w:pPr>
      <w:r>
        <w:t>9.4.2.1 Концепции</w:t>
      </w:r>
    </w:p>
    <w:p w:rsidR="00000000" w:rsidRDefault="005829C2">
      <w:pPr>
        <w:pStyle w:val="FORMATTEXT"/>
        <w:ind w:firstLine="568"/>
        <w:jc w:val="both"/>
      </w:pPr>
    </w:p>
    <w:p w:rsidR="00000000" w:rsidRDefault="005829C2">
      <w:pPr>
        <w:pStyle w:val="FORMATTEXT"/>
        <w:ind w:firstLine="568"/>
        <w:jc w:val="both"/>
      </w:pPr>
      <w:r>
        <w:t>Концепция определения значений параметров СО, основанного на согласованности методов и/или лабораторий, основана как минимум на двух допущениях:</w:t>
      </w:r>
    </w:p>
    <w:p w:rsidR="00000000" w:rsidRDefault="005829C2">
      <w:pPr>
        <w:pStyle w:val="FORMATTEXT"/>
        <w:ind w:firstLine="568"/>
        <w:jc w:val="both"/>
      </w:pPr>
    </w:p>
    <w:p w:rsidR="00000000" w:rsidRDefault="005829C2">
      <w:pPr>
        <w:pStyle w:val="FORMATTEXT"/>
        <w:ind w:firstLine="568"/>
        <w:jc w:val="both"/>
      </w:pPr>
      <w:r>
        <w:t>a) имеется совок</w:t>
      </w:r>
      <w:r>
        <w:t xml:space="preserve">упность методов/лабораторий, в равной степени способных при определении </w:t>
      </w:r>
      <w:r>
        <w:lastRenderedPageBreak/>
        <w:t>характеристик СО представить результаты приемлемого качества;</w:t>
      </w:r>
    </w:p>
    <w:p w:rsidR="00000000" w:rsidRDefault="005829C2">
      <w:pPr>
        <w:pStyle w:val="FORMATTEXT"/>
        <w:ind w:firstLine="568"/>
        <w:jc w:val="both"/>
      </w:pPr>
    </w:p>
    <w:p w:rsidR="00000000" w:rsidRDefault="005829C2">
      <w:pPr>
        <w:pStyle w:val="FORMATTEXT"/>
        <w:ind w:firstLine="568"/>
        <w:jc w:val="both"/>
      </w:pPr>
      <w:r>
        <w:t xml:space="preserve">b) (подразумевается, что) расхождения между отдельными результатами как внутри, так и между методами/лабораториями имеют </w:t>
      </w:r>
      <w:r>
        <w:t>статистический характер независимо от причин (т.е. различий между измерительными процедурами, персоналом, оборудованием и т.д.).</w:t>
      </w:r>
    </w:p>
    <w:p w:rsidR="00000000" w:rsidRDefault="005829C2">
      <w:pPr>
        <w:pStyle w:val="FORMATTEXT"/>
        <w:ind w:firstLine="568"/>
        <w:jc w:val="both"/>
      </w:pPr>
    </w:p>
    <w:p w:rsidR="00000000" w:rsidRDefault="005829C2">
      <w:pPr>
        <w:pStyle w:val="FORMATTEXT"/>
        <w:ind w:firstLine="568"/>
        <w:jc w:val="both"/>
      </w:pPr>
      <w:r>
        <w:t>Каждое среднее значение метода/лаборатории априори рассматривается как несмещенная оценка характеристики материала. Обычно сре</w:t>
      </w:r>
      <w:r>
        <w:t xml:space="preserve">днее средних значений метода/лаборатории считается наилучшей оценкой этой характеристики. Кроме того, каждый из результатов, полученных в ходе совместного исследования, должен отвечать требованиям в отношении </w:t>
      </w:r>
      <w:proofErr w:type="spellStart"/>
      <w:r>
        <w:t>прослеживаемости</w:t>
      </w:r>
      <w:proofErr w:type="spellEnd"/>
      <w:r>
        <w:t>, как указано в 9.2. В том случ</w:t>
      </w:r>
      <w:r>
        <w:t>ае, если распределение результатов эксперимента отличается от нормального распределения, что может иметь место, например, при анализе следовых элементов, применение более робастной статистики, такой как медиана или усеченное среднее, может быть более целес</w:t>
      </w:r>
      <w:r>
        <w:t>ообразно для оценки значения параметров.</w:t>
      </w:r>
    </w:p>
    <w:p w:rsidR="00000000" w:rsidRDefault="005829C2">
      <w:pPr>
        <w:pStyle w:val="FORMATTEXT"/>
        <w:ind w:firstLine="568"/>
        <w:jc w:val="both"/>
      </w:pPr>
    </w:p>
    <w:p w:rsidR="00000000" w:rsidRDefault="005829C2">
      <w:pPr>
        <w:pStyle w:val="FORMATTEXT"/>
        <w:ind w:firstLine="568"/>
        <w:jc w:val="both"/>
      </w:pPr>
      <w:r>
        <w:t>Примечания</w:t>
      </w:r>
    </w:p>
    <w:p w:rsidR="00000000" w:rsidRDefault="005829C2">
      <w:pPr>
        <w:pStyle w:val="FORMATTEXT"/>
        <w:ind w:firstLine="568"/>
        <w:jc w:val="both"/>
      </w:pPr>
    </w:p>
    <w:p w:rsidR="00000000" w:rsidRDefault="005829C2">
      <w:pPr>
        <w:pStyle w:val="FORMATTEXT"/>
        <w:ind w:firstLine="568"/>
        <w:jc w:val="both"/>
      </w:pPr>
      <w:r>
        <w:t xml:space="preserve">1 На практике размер совокупности методов/лабораторий, имеющихся для такой программы, ограничен. Поэтому в большинстве случаев невозможно полностью использовать модель </w:t>
      </w:r>
      <w:proofErr w:type="spellStart"/>
      <w:r>
        <w:t>рандомизированного</w:t>
      </w:r>
      <w:proofErr w:type="spellEnd"/>
      <w:r>
        <w:t xml:space="preserve"> плана экспериме</w:t>
      </w:r>
      <w:r>
        <w:t xml:space="preserve">нта. Кроме того, следует отметить, что допущение о принадлежности к одной и той же совокупности всех результатов, полученных разными методами/лабораториями, следует рассматривать с осторожностью. Даже на современном уровне могут существовать расхождения в </w:t>
      </w:r>
      <w:r>
        <w:t>рабочих характеристиках методов, а также в неопределенностях у лабораторий, что может сделать необоснованным допущение о единой совокупности.</w:t>
      </w:r>
    </w:p>
    <w:p w:rsidR="00000000" w:rsidRDefault="005829C2">
      <w:pPr>
        <w:pStyle w:val="FORMATTEXT"/>
        <w:ind w:firstLine="568"/>
        <w:jc w:val="both"/>
      </w:pPr>
    </w:p>
    <w:p w:rsidR="00000000" w:rsidRDefault="005829C2">
      <w:pPr>
        <w:pStyle w:val="FORMATTEXT"/>
        <w:ind w:firstLine="568"/>
        <w:jc w:val="both"/>
      </w:pPr>
      <w:r>
        <w:t>2 Кроме того, чтобы этот вид подхода был обоснованным, необходимо сделать допущение о том, что все результаты все</w:t>
      </w:r>
      <w:r>
        <w:t>х методов и/или лабораторий имеют прослеживаемую связь (см. 9.2) с соответствующими установленными опорными значениями. Эти опорные значения, как правило, тщательно выбирают при разработке совместного исследования для получения значений параметров.</w:t>
      </w:r>
    </w:p>
    <w:p w:rsidR="00000000" w:rsidRDefault="005829C2">
      <w:pPr>
        <w:pStyle w:val="FORMATTEXT"/>
        <w:ind w:firstLine="568"/>
        <w:jc w:val="both"/>
      </w:pPr>
    </w:p>
    <w:p w:rsidR="00000000" w:rsidRDefault="005829C2">
      <w:pPr>
        <w:pStyle w:val="FORMATTEXT"/>
        <w:ind w:firstLine="568"/>
        <w:jc w:val="both"/>
      </w:pPr>
      <w:r>
        <w:t>3 Част</w:t>
      </w:r>
      <w:r>
        <w:t xml:space="preserve">о для такого совместного исследования необходимо привлечение большого числа лабораторий для </w:t>
      </w:r>
      <w:proofErr w:type="spellStart"/>
      <w:r>
        <w:t>рандомизирования</w:t>
      </w:r>
      <w:proofErr w:type="spellEnd"/>
      <w:r>
        <w:t xml:space="preserve"> погрешностей, связанных с определенными этапами серии операций, необходимых для получения значения. Такие этапы обычно включают преобразование наве</w:t>
      </w:r>
      <w:r>
        <w:t>сок (например, экстракцию или разложение пробы), дальнейшую обработку преобразованной пробы (например, очистку) и иногда также указание о влиянии различных методов измерений. В этих случаях при нецелесообразности проводить полную оценку неопределенности ре</w:t>
      </w:r>
      <w:r>
        <w:t>зультата измерений, полученного одним методом (и в одной лаборатории), подход, описанный в этом разделе, должен быть предпочтителен подходам, изложенным в разделе 9.</w:t>
      </w:r>
    </w:p>
    <w:p w:rsidR="00000000" w:rsidRDefault="005829C2">
      <w:pPr>
        <w:pStyle w:val="FORMATTEXT"/>
        <w:ind w:firstLine="568"/>
        <w:jc w:val="both"/>
      </w:pPr>
    </w:p>
    <w:p w:rsidR="00000000" w:rsidRDefault="005829C2">
      <w:pPr>
        <w:pStyle w:val="FORMATTEXT"/>
        <w:ind w:firstLine="568"/>
        <w:jc w:val="both"/>
      </w:pPr>
      <w:r>
        <w:t xml:space="preserve">Общая процедура </w:t>
      </w:r>
      <w:proofErr w:type="spellStart"/>
      <w:r>
        <w:t>характеризации</w:t>
      </w:r>
      <w:proofErr w:type="spellEnd"/>
      <w:r>
        <w:t xml:space="preserve"> исходного материала ССО (АСО) в ходе совместных исследован</w:t>
      </w:r>
      <w:r>
        <w:t>ий схематически изображена на рисунке 6. Каждый этап может рассматриваться отдельно и имеет требования, которые необходимо выполнить перед тем, как приступить к следующему этапу.</w:t>
      </w:r>
    </w:p>
    <w:p w:rsidR="00000000" w:rsidRDefault="005829C2">
      <w:pPr>
        <w:pStyle w:val="FORMATTEXT"/>
        <w:ind w:firstLine="568"/>
        <w:jc w:val="both"/>
      </w:pPr>
    </w:p>
    <w:p w:rsidR="00000000" w:rsidRDefault="005829C2">
      <w:pPr>
        <w:pStyle w:val="FORMATTEXT"/>
        <w:ind w:firstLine="568"/>
        <w:jc w:val="both"/>
      </w:pPr>
      <w:r>
        <w:t>9.4.2.2 Управление и график выполнения работ</w:t>
      </w:r>
    </w:p>
    <w:p w:rsidR="00000000" w:rsidRDefault="005829C2">
      <w:pPr>
        <w:pStyle w:val="FORMATTEXT"/>
        <w:ind w:firstLine="568"/>
        <w:jc w:val="both"/>
      </w:pPr>
    </w:p>
    <w:p w:rsidR="00000000" w:rsidRDefault="005829C2">
      <w:pPr>
        <w:pStyle w:val="FORMATTEXT"/>
        <w:ind w:firstLine="568"/>
        <w:jc w:val="both"/>
      </w:pPr>
      <w:r>
        <w:t>Управление совместным исследов</w:t>
      </w:r>
      <w:r>
        <w:t>анием осуществляет прежде всего организация, отвечающая за сертификацию (аттестацию). Она должна предоставить всем участникам достаточный объем руководящих материалов для успешного проведения работ. Для достижения успеха совместное исследование должно имет</w:t>
      </w:r>
      <w:r>
        <w:t>ь четко поставленную цель, быть правильно спланированным и организованным с четкими, точными руководящими документами, которым участвующие лаборатории и/или операторы смогут легко следовать. Участие в такой программе в качестве оператора или лаборатории по</w:t>
      </w:r>
      <w:r>
        <w:t>дразумевает согласие следовать этим руководящим документам. В эти руководящие документы входят указания сроков выполнения работ, числа единиц (экземпляров СО), числа повторных определений на единицу (экземпляр СО), методов измерений, при необходимости разм</w:t>
      </w:r>
      <w:r>
        <w:t>ера навески и т.д.</w:t>
      </w:r>
    </w:p>
    <w:p w:rsidR="00000000" w:rsidRDefault="005829C2">
      <w:pPr>
        <w:pStyle w:val="FORMATTEXT"/>
        <w:ind w:firstLine="568"/>
        <w:jc w:val="both"/>
      </w:pPr>
    </w:p>
    <w:p w:rsidR="00000000" w:rsidRDefault="005829C2">
      <w:pPr>
        <w:pStyle w:val="FORMATTEXT"/>
        <w:ind w:firstLine="568"/>
        <w:jc w:val="both"/>
      </w:pPr>
      <w:r>
        <w:t xml:space="preserve">В руководящих документах следует учитывать соображения, изложенные в 9.2 и 9.3, и перевести их в четкие инструкции с тем, чтобы все участвующие стороны были знакомы с требованиями к качеству и </w:t>
      </w:r>
      <w:proofErr w:type="spellStart"/>
      <w:r>
        <w:t>прослеживаемости</w:t>
      </w:r>
      <w:proofErr w:type="spellEnd"/>
      <w:r>
        <w:t xml:space="preserve"> результатов измерений. В э</w:t>
      </w:r>
      <w:r>
        <w:t>тих руководствах должны также содержаться механизмы подтверждения допущений, сделанных относительно данных и их качества.</w:t>
      </w:r>
    </w:p>
    <w:p w:rsidR="00000000" w:rsidRDefault="005829C2">
      <w:pPr>
        <w:pStyle w:val="FORMATTEXT"/>
        <w:ind w:firstLine="568"/>
        <w:jc w:val="both"/>
      </w:pPr>
    </w:p>
    <w:p w:rsidR="00000000" w:rsidRDefault="005829C2">
      <w:pPr>
        <w:pStyle w:val="FORMATTEXT"/>
        <w:ind w:firstLine="568"/>
        <w:jc w:val="both"/>
      </w:pPr>
      <w:r>
        <w:t>Организатор должен установить график выполнения работ (т.е. сроки рассылки образцов, способ рассылки) и предоставить четкие инструкци</w:t>
      </w:r>
      <w:r>
        <w:t xml:space="preserve">и отправителям и получателям по хранению и обращению с образцами. Организатор должен также указать срок представления результатов измерений. Этот </w:t>
      </w:r>
      <w:r>
        <w:lastRenderedPageBreak/>
        <w:t>график должен быть согласован между организатором и участвующими операторами/лабораториями.</w:t>
      </w:r>
    </w:p>
    <w:p w:rsidR="00000000" w:rsidRDefault="005829C2">
      <w:pPr>
        <w:pStyle w:val="FORMATTEXT"/>
        <w:ind w:firstLine="568"/>
        <w:jc w:val="both"/>
      </w:pPr>
    </w:p>
    <w:p w:rsidR="00000000" w:rsidRDefault="005829C2">
      <w:pPr>
        <w:pStyle w:val="FORMATTEXT"/>
        <w:ind w:firstLine="568"/>
        <w:jc w:val="both"/>
      </w:pPr>
      <w:r>
        <w:t>9.4.2.3 Техническ</w:t>
      </w:r>
      <w:r>
        <w:t>ие требования</w:t>
      </w:r>
    </w:p>
    <w:p w:rsidR="00000000" w:rsidRDefault="005829C2">
      <w:pPr>
        <w:pStyle w:val="FORMATTEXT"/>
        <w:ind w:firstLine="568"/>
        <w:jc w:val="both"/>
      </w:pPr>
    </w:p>
    <w:p w:rsidR="00000000" w:rsidRDefault="005829C2">
      <w:pPr>
        <w:pStyle w:val="FORMATTEXT"/>
        <w:ind w:firstLine="568"/>
        <w:jc w:val="both"/>
      </w:pPr>
      <w:r>
        <w:t>9.4.2.3.1 Требуемое число результатов</w:t>
      </w:r>
    </w:p>
    <w:p w:rsidR="00000000" w:rsidRDefault="005829C2">
      <w:pPr>
        <w:pStyle w:val="FORMATTEXT"/>
        <w:ind w:firstLine="568"/>
        <w:jc w:val="both"/>
      </w:pPr>
    </w:p>
    <w:p w:rsidR="00000000" w:rsidRDefault="005829C2">
      <w:pPr>
        <w:pStyle w:val="FORMATTEXT"/>
        <w:ind w:firstLine="568"/>
        <w:jc w:val="both"/>
      </w:pPr>
      <w:r>
        <w:t>Число методов измерений, имеющихся для определения конкретной характеристики, часто очень ограничено. По возможности следует проводить проверку результатов, полученных различными методами, чтобы убедить</w:t>
      </w:r>
      <w:r>
        <w:t>ся, что они согласуются в пределах своих неопределенностей. Если это так, то можно на основе этой согласованности между методами получить среднее значение.</w:t>
      </w:r>
    </w:p>
    <w:p w:rsidR="00000000" w:rsidRDefault="005829C2">
      <w:pPr>
        <w:pStyle w:val="FORMATTEXT"/>
        <w:ind w:firstLine="568"/>
        <w:jc w:val="both"/>
      </w:pPr>
    </w:p>
    <w:p w:rsidR="00000000" w:rsidRDefault="005829C2">
      <w:pPr>
        <w:pStyle w:val="FORMATTEXT"/>
        <w:ind w:firstLine="568"/>
        <w:jc w:val="both"/>
      </w:pPr>
      <w:r>
        <w:t>В том случае, если оценка неопределенности измерений СО устанавливается через рандомизацию как можн</w:t>
      </w:r>
      <w:r>
        <w:t>о большего числа факторов во время измерительной кампании, тогда предпочтителен подход с участием многих лабораторий. Этими "лабораториями" могут также быть различные отделения или группы в рамках одного института. Минимальное число участвующих лабораторий</w:t>
      </w:r>
      <w:r>
        <w:t xml:space="preserve"> в кампании по </w:t>
      </w:r>
      <w:proofErr w:type="spellStart"/>
      <w:r>
        <w:t>характеризации</w:t>
      </w:r>
      <w:proofErr w:type="spellEnd"/>
      <w:r>
        <w:t xml:space="preserve"> СО зависит от сложности необходимой измерительной процедуры. Чем сложнее процедура, тем значительнее ожидаются межлабораторные расхождения, вызывающие, таким образом, необходимость в увеличении числа участвующих лабораторий дл</w:t>
      </w:r>
      <w:r>
        <w:t>я получения значения параметра, имеющего удовлетворительную неопределенность. К сожалению, на практике чем сложнее процедура, тем меньше групп/лабораторий, способных выполнить эту процедуру. В крайних случаях орган по сертификации (аттестующая организация)</w:t>
      </w:r>
      <w:r>
        <w:t xml:space="preserve"> может быть вынужден отказаться от проведения межлабораторной программы вместе с сертификацией (аттестацией) данного разрабатываемого СО.</w:t>
      </w:r>
    </w:p>
    <w:p w:rsidR="00000000" w:rsidRDefault="005829C2">
      <w:pPr>
        <w:pStyle w:val="FORMATTEXT"/>
        <w:ind w:firstLine="568"/>
        <w:jc w:val="both"/>
      </w:pPr>
    </w:p>
    <w:p w:rsidR="00000000" w:rsidRDefault="005829C2">
      <w:pPr>
        <w:pStyle w:val="FORMATTEXT"/>
        <w:ind w:firstLine="568"/>
        <w:jc w:val="both"/>
      </w:pPr>
      <w:r>
        <w:t>Если существуют хорошо обоснованные методы измерений для представляющих интерес параметров, тогда число лабораторий/г</w:t>
      </w:r>
      <w:r>
        <w:t xml:space="preserve">рупп, привлеченных к </w:t>
      </w:r>
      <w:proofErr w:type="spellStart"/>
      <w:r>
        <w:t>характеризации</w:t>
      </w:r>
      <w:proofErr w:type="spellEnd"/>
      <w:r>
        <w:t>, может быть невелико - 2 или 3. Типичный пример такого случая - использование первичных методов измерений для матричных СО. Если статистический и метрологический контроль слабее, но все же адекватен для принятия (в принц</w:t>
      </w:r>
      <w:r>
        <w:t>ипе) каждого технически обоснованного результата, то минимальное число участвующих лабораторий обычно от 6 до 8. И наконец, если существует реальная угроза получить статистически, а также технически необоснованные результаты (т.е. ограниченный статистическ</w:t>
      </w:r>
      <w:r>
        <w:t>ий контроль), то минимальное число лабораторий должно быть не менее 10, а предпочтительно - 15. Минимальное число позволяет провести исследование данных для выбора методов обработки выбросов и достижения адекватного уровня неопределенности для установленны</w:t>
      </w:r>
      <w:r>
        <w:t>х таким образом значений параметров.</w:t>
      </w:r>
    </w:p>
    <w:p w:rsidR="00000000" w:rsidRDefault="005829C2">
      <w:pPr>
        <w:pStyle w:val="FORMATTEXT"/>
        <w:ind w:firstLine="568"/>
        <w:jc w:val="both"/>
      </w:pPr>
    </w:p>
    <w:p w:rsidR="00000000" w:rsidRDefault="00862BD0">
      <w:pPr>
        <w:pStyle w:val="TOPLEVELTEXT"/>
        <w:jc w:val="center"/>
      </w:pPr>
      <w:r>
        <w:rPr>
          <w:noProof/>
          <w:position w:val="-267"/>
        </w:rPr>
        <w:lastRenderedPageBreak/>
        <w:drawing>
          <wp:inline distT="0" distB="0" distL="0" distR="0">
            <wp:extent cx="6362700" cy="6791325"/>
            <wp:effectExtent l="0" t="0" r="0" b="9525"/>
            <wp:docPr id="1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6362700" cy="6791325"/>
                    </a:xfrm>
                    <a:prstGeom prst="rect">
                      <a:avLst/>
                    </a:prstGeom>
                    <a:noFill/>
                    <a:ln>
                      <a:noFill/>
                    </a:ln>
                  </pic:spPr>
                </pic:pic>
              </a:graphicData>
            </a:graphic>
          </wp:inline>
        </w:drawing>
      </w:r>
    </w:p>
    <w:p w:rsidR="00000000" w:rsidRDefault="005829C2">
      <w:pPr>
        <w:pStyle w:val="FORMATTEXT"/>
        <w:jc w:val="center"/>
      </w:pPr>
    </w:p>
    <w:p w:rsidR="00000000" w:rsidRDefault="005829C2">
      <w:pPr>
        <w:pStyle w:val="FORMATTEXT"/>
        <w:jc w:val="center"/>
      </w:pPr>
      <w:r>
        <w:t xml:space="preserve">Рисунок 6 - План эксперимента при проведении измерений </w:t>
      </w:r>
    </w:p>
    <w:p w:rsidR="00000000" w:rsidRDefault="005829C2">
      <w:pPr>
        <w:pStyle w:val="FORMATTEXT"/>
        <w:ind w:firstLine="568"/>
        <w:jc w:val="both"/>
      </w:pPr>
      <w:r>
        <w:t xml:space="preserve">Еще одна переменная величина, которую следует учитывать, - это число имеющихся методов и сбалансированное представление этих </w:t>
      </w:r>
      <w:r>
        <w:t>методов в совместном исследовании. При отсутствии первичных методов идеально использование порядка трех методов (если это возможно) шестью компетентными лабораториями/группами.</w:t>
      </w:r>
    </w:p>
    <w:p w:rsidR="00000000" w:rsidRDefault="005829C2">
      <w:pPr>
        <w:pStyle w:val="FORMATTEXT"/>
        <w:ind w:firstLine="568"/>
        <w:jc w:val="both"/>
      </w:pPr>
    </w:p>
    <w:p w:rsidR="00000000" w:rsidRDefault="005829C2">
      <w:pPr>
        <w:pStyle w:val="FORMATTEXT"/>
        <w:ind w:firstLine="568"/>
        <w:jc w:val="both"/>
      </w:pPr>
      <w:r>
        <w:t>9.4.2.3.2 Число единиц (экземпляров) и повторных определений</w:t>
      </w:r>
    </w:p>
    <w:p w:rsidR="00000000" w:rsidRDefault="005829C2">
      <w:pPr>
        <w:pStyle w:val="FORMATTEXT"/>
        <w:ind w:firstLine="568"/>
        <w:jc w:val="both"/>
      </w:pPr>
    </w:p>
    <w:p w:rsidR="00000000" w:rsidRDefault="005829C2">
      <w:pPr>
        <w:pStyle w:val="FORMATTEXT"/>
        <w:ind w:firstLine="568"/>
        <w:jc w:val="both"/>
      </w:pPr>
      <w:r>
        <w:t>Обычно достаточн</w:t>
      </w:r>
      <w:r>
        <w:t>о двух единиц (экземпляров СО) и около шести повторных определений, распределенных в течение (не менее) двух дней. Все определения предпочтительно проводить с независимыми калибровками. Но если результаты совместного исследования предполагается использоват</w:t>
      </w:r>
      <w:r>
        <w:t>ь в качестве окончательного подтверждения однородности СО, то каждой участвующей лаборатории необходимо определить значения характеристик как минимум для 3-4 единиц (экземпляров СО) для того, чтобы иметь достаточное количество степеней свободы при оцениван</w:t>
      </w:r>
      <w:r>
        <w:t xml:space="preserve">ии </w:t>
      </w:r>
      <w:proofErr w:type="spellStart"/>
      <w:r>
        <w:t>межэкземплярного</w:t>
      </w:r>
      <w:proofErr w:type="spellEnd"/>
      <w:r>
        <w:t xml:space="preserve"> стандартного отклонения.</w:t>
      </w:r>
    </w:p>
    <w:p w:rsidR="00000000" w:rsidRDefault="005829C2">
      <w:pPr>
        <w:pStyle w:val="FORMATTEXT"/>
        <w:ind w:firstLine="568"/>
        <w:jc w:val="both"/>
      </w:pPr>
    </w:p>
    <w:p w:rsidR="00000000" w:rsidRDefault="005829C2">
      <w:pPr>
        <w:pStyle w:val="FORMATTEXT"/>
        <w:ind w:firstLine="568"/>
        <w:jc w:val="both"/>
      </w:pPr>
      <w:r>
        <w:t>9.4.2.3.3 Методы измерений</w:t>
      </w:r>
    </w:p>
    <w:p w:rsidR="00000000" w:rsidRDefault="005829C2">
      <w:pPr>
        <w:pStyle w:val="FORMATTEXT"/>
        <w:ind w:firstLine="568"/>
        <w:jc w:val="both"/>
      </w:pPr>
    </w:p>
    <w:p w:rsidR="00000000" w:rsidRDefault="005829C2">
      <w:pPr>
        <w:pStyle w:val="FORMATTEXT"/>
        <w:ind w:firstLine="568"/>
        <w:jc w:val="both"/>
      </w:pPr>
      <w:r>
        <w:t>Организатор совместного исследования может предписать участникам использование единого метода при наличии хорошо обоснованной "стандартной" процедуры измерений. Этот подход также под</w:t>
      </w:r>
      <w:r>
        <w:t>ходит для параметров, которые определены конкретным методом (например, параметры, характеризующие выщелачивание). В противном случае организатор должен разрешить каждой участвующей лаборатории предложить метод по своему выбору при условии, что она имеет до</w:t>
      </w:r>
      <w:r>
        <w:t>казательства обоснованности выбора таких методов. Организатор должен стремиться к широкой представительности большинства методов, подходящих для определения конкретных характеристик, и добиваться согласия всех участвующих сторон в отношении того, какие мет</w:t>
      </w:r>
      <w:r>
        <w:t>оды будут использованы каждой лабораторией/группой.</w:t>
      </w:r>
    </w:p>
    <w:p w:rsidR="00000000" w:rsidRDefault="005829C2">
      <w:pPr>
        <w:pStyle w:val="FORMATTEXT"/>
        <w:ind w:firstLine="568"/>
        <w:jc w:val="both"/>
      </w:pPr>
    </w:p>
    <w:p w:rsidR="00000000" w:rsidRDefault="005829C2">
      <w:pPr>
        <w:pStyle w:val="FORMATTEXT"/>
        <w:ind w:firstLine="568"/>
        <w:jc w:val="both"/>
      </w:pPr>
      <w:r>
        <w:t xml:space="preserve">Кроме того, организатор должен потребовать, чтобы все методы, применяемые в ходе кампании, были надлежащим образом обоснованы, т.е. чтобы результаты каждого измерения, сделанного в ходе измерений, можно </w:t>
      </w:r>
      <w:r>
        <w:t xml:space="preserve">было проверить по предварительно установленным критериям качества работы. Важной частью исследований по обоснованию использования любого метода является его </w:t>
      </w:r>
      <w:proofErr w:type="spellStart"/>
      <w:r>
        <w:t>прослеживаемость</w:t>
      </w:r>
      <w:proofErr w:type="spellEnd"/>
      <w:r>
        <w:t xml:space="preserve"> к эталонам, принятым на международном уровне, до той степени, которая необходима д</w:t>
      </w:r>
      <w:r>
        <w:t>ля данного типа измерений. Во многих новых областях измерений обоснование имеющихся методов иногда проходит только путем межлабораторного сличения, как описано в ИСО 5725 [1]-[6], что может быть достаточно для характеристик, зависящих от метода измерений.</w:t>
      </w:r>
    </w:p>
    <w:p w:rsidR="00000000" w:rsidRDefault="005829C2">
      <w:pPr>
        <w:pStyle w:val="FORMATTEXT"/>
        <w:ind w:firstLine="568"/>
        <w:jc w:val="both"/>
      </w:pPr>
    </w:p>
    <w:p w:rsidR="00000000" w:rsidRDefault="005829C2">
      <w:pPr>
        <w:pStyle w:val="FORMATTEXT"/>
        <w:ind w:firstLine="568"/>
        <w:jc w:val="both"/>
      </w:pPr>
      <w:r>
        <w:t>И наконец, встреча с участвующими лабораториями/группами (до рассылки проб и проведения измерений) может помочь всем привлеченным сторонам согласовать все виды работ, которые предстоит выполнить в ходе совместного исследования и обсудить возможные проблем</w:t>
      </w:r>
      <w:r>
        <w:t>ы и/или "ловушки".</w:t>
      </w:r>
    </w:p>
    <w:p w:rsidR="00000000" w:rsidRDefault="005829C2">
      <w:pPr>
        <w:pStyle w:val="FORMATTEXT"/>
        <w:ind w:firstLine="568"/>
        <w:jc w:val="both"/>
      </w:pPr>
    </w:p>
    <w:p w:rsidR="00000000" w:rsidRDefault="005829C2">
      <w:pPr>
        <w:pStyle w:val="FORMATTEXT"/>
        <w:ind w:firstLine="568"/>
        <w:jc w:val="both"/>
      </w:pPr>
      <w:r>
        <w:t>9.4.2.3.4 Представление результатов</w:t>
      </w:r>
    </w:p>
    <w:p w:rsidR="00000000" w:rsidRDefault="005829C2">
      <w:pPr>
        <w:pStyle w:val="FORMATTEXT"/>
        <w:ind w:firstLine="568"/>
        <w:jc w:val="both"/>
      </w:pPr>
    </w:p>
    <w:p w:rsidR="00000000" w:rsidRDefault="005829C2">
      <w:pPr>
        <w:pStyle w:val="FORMATTEXT"/>
        <w:ind w:firstLine="568"/>
        <w:jc w:val="both"/>
      </w:pPr>
      <w:r>
        <w:t>Можно использовать два способа представления результатов в зависимости от того, должна или нет каждая участвующая лаборатория представлять неопределенности результатов.</w:t>
      </w:r>
    </w:p>
    <w:p w:rsidR="00000000" w:rsidRDefault="005829C2">
      <w:pPr>
        <w:pStyle w:val="FORMATTEXT"/>
        <w:ind w:firstLine="568"/>
        <w:jc w:val="both"/>
      </w:pPr>
    </w:p>
    <w:p w:rsidR="00000000" w:rsidRDefault="005829C2">
      <w:pPr>
        <w:pStyle w:val="FORMATTEXT"/>
        <w:ind w:firstLine="568"/>
        <w:jc w:val="both"/>
      </w:pPr>
      <w:r>
        <w:t>Если предполагается, что учас</w:t>
      </w:r>
      <w:r>
        <w:t>твующие лаборатории/группы указывают свою неопределенность измерений, тогда, в принципе, достаточно результата измерения, его расширенной неопределенности и коэффициента охвата. Однако предпочтительно, чтобы каждая лаборатория представляла полную модель не</w:t>
      </w:r>
      <w:r>
        <w:t>определенности, с указанием всех неопределенностей, что может облегчить проведение оценки любых ковариаций [34], [38] между результатами.</w:t>
      </w:r>
    </w:p>
    <w:p w:rsidR="00000000" w:rsidRDefault="005829C2">
      <w:pPr>
        <w:pStyle w:val="FORMATTEXT"/>
        <w:ind w:firstLine="568"/>
        <w:jc w:val="both"/>
      </w:pPr>
    </w:p>
    <w:p w:rsidR="00000000" w:rsidRDefault="005829C2">
      <w:pPr>
        <w:pStyle w:val="FORMATTEXT"/>
        <w:ind w:firstLine="568"/>
        <w:jc w:val="both"/>
      </w:pPr>
      <w:r>
        <w:t>Если информация о неопределенности не требуется, тогда участвующие группы/лаборатории должны представить отдельные ре</w:t>
      </w:r>
      <w:r>
        <w:t>зультаты (не средние). Число представляемых значащих цифр должно соответствовать рекомендациям программы.</w:t>
      </w:r>
    </w:p>
    <w:p w:rsidR="00000000" w:rsidRDefault="005829C2">
      <w:pPr>
        <w:pStyle w:val="FORMATTEXT"/>
        <w:ind w:firstLine="568"/>
        <w:jc w:val="both"/>
      </w:pPr>
    </w:p>
    <w:p w:rsidR="00000000" w:rsidRDefault="005829C2">
      <w:pPr>
        <w:pStyle w:val="FORMATTEXT"/>
        <w:ind w:firstLine="568"/>
        <w:jc w:val="both"/>
      </w:pPr>
      <w:r>
        <w:t>В обоих случаях рекомендуется представлять в достаточном объеме план измерительной процедуры для лучшего понимания всех предварительных этапов измери</w:t>
      </w:r>
      <w:r>
        <w:t xml:space="preserve">тельного процесса (например, при химическом анализе - </w:t>
      </w:r>
      <w:proofErr w:type="gramStart"/>
      <w:r>
        <w:t>этапов разложения образца и разделения</w:t>
      </w:r>
      <w:proofErr w:type="gramEnd"/>
      <w:r>
        <w:t xml:space="preserve"> представляющих интерес </w:t>
      </w:r>
      <w:proofErr w:type="spellStart"/>
      <w:r>
        <w:t>аналитов</w:t>
      </w:r>
      <w:proofErr w:type="spellEnd"/>
      <w:r>
        <w:t>). Следует давать ссылки на литературу (при необходимости).</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9.5 Рассмотрение особенностей, связанных со свойствами </w:t>
      </w:r>
    </w:p>
    <w:p w:rsidR="00000000" w:rsidRDefault="005829C2">
      <w:pPr>
        <w:pStyle w:val="FORMATTEXT"/>
        <w:ind w:firstLine="568"/>
        <w:jc w:val="both"/>
      </w:pPr>
      <w:r>
        <w:rPr>
          <w:b/>
          <w:bCs/>
        </w:rPr>
        <w:t>9.5.1 СО</w:t>
      </w:r>
      <w:r>
        <w:rPr>
          <w:b/>
          <w:bCs/>
        </w:rPr>
        <w:t xml:space="preserve"> физических свойств</w:t>
      </w:r>
    </w:p>
    <w:p w:rsidR="00000000" w:rsidRDefault="005829C2">
      <w:pPr>
        <w:pStyle w:val="FORMATTEXT"/>
        <w:ind w:firstLine="568"/>
        <w:jc w:val="both"/>
      </w:pPr>
    </w:p>
    <w:p w:rsidR="00000000" w:rsidRDefault="005829C2">
      <w:pPr>
        <w:pStyle w:val="FORMATTEXT"/>
        <w:ind w:firstLine="568"/>
        <w:jc w:val="both"/>
      </w:pPr>
      <w:r>
        <w:t>Традиционно наиболее точные измерения выполняют в национальных метрологических институтах (далее - НМИ) для основных единиц, их наиболее распространенных кратных и дольных единиц. Здесь все источники погрешностей и неопределенностей ис</w:t>
      </w:r>
      <w:r>
        <w:t>следуются очень подробно, методы измерений, часто и методы калибровки совершенствуются в течение многих лет для уменьшения и оценки неопределенностей. Точность этих измерений обычно очень хорошо установлена, особенно когда они являются предметом (ключевых)</w:t>
      </w:r>
      <w:r>
        <w:t xml:space="preserve"> сличений. Для тех измерений, где не было ключевых сличений, </w:t>
      </w:r>
      <w:proofErr w:type="gramStart"/>
      <w:r>
        <w:t>например</w:t>
      </w:r>
      <w:proofErr w:type="gramEnd"/>
      <w:r>
        <w:t xml:space="preserve"> в случаях использования лабораторией методов собственной разработки, следует сделать оговорки. Демонстрация характеристик метода в сравнении с методом другой лаборатории - это один из кр</w:t>
      </w:r>
      <w:r>
        <w:t xml:space="preserve">аеугольных камней обеспечения качества и </w:t>
      </w:r>
      <w:proofErr w:type="spellStart"/>
      <w:r>
        <w:t>прослеживаемости</w:t>
      </w:r>
      <w:proofErr w:type="spellEnd"/>
      <w:r>
        <w:t xml:space="preserve"> результатов измерений независимо от назначения лаборатории. Поэтому любая вновь создаваемая лаборатория нуждается в проведении расширенных ключевых сличений для обеспечения эквивалентности собственн</w:t>
      </w:r>
      <w:r>
        <w:t>ых оценок значений и их неопределенностей и подтверждения, что ни один из важных факторов, вносящих вклад в неопределенность, не был упущен.</w:t>
      </w:r>
    </w:p>
    <w:p w:rsidR="00000000" w:rsidRDefault="005829C2">
      <w:pPr>
        <w:pStyle w:val="FORMATTEXT"/>
        <w:ind w:firstLine="568"/>
        <w:jc w:val="both"/>
      </w:pPr>
    </w:p>
    <w:p w:rsidR="00000000" w:rsidRDefault="005829C2">
      <w:pPr>
        <w:pStyle w:val="FORMATTEXT"/>
        <w:ind w:firstLine="568"/>
        <w:jc w:val="both"/>
      </w:pPr>
      <w:r>
        <w:t xml:space="preserve">Особое внимание следует уделять физическим свойствам, которые невозможно определить в </w:t>
      </w:r>
      <w:r>
        <w:lastRenderedPageBreak/>
        <w:t>режиме калибровки. Обычно оц</w:t>
      </w:r>
      <w:r>
        <w:t xml:space="preserve">енка неопределенности результатов по результатам испытаний, полученным по методу и в процессе испытаний, не так хорошо установлена, как в режиме калибровки. Этот аспект должен быть учтен при </w:t>
      </w:r>
      <w:proofErr w:type="spellStart"/>
      <w:r>
        <w:t>характеризации</w:t>
      </w:r>
      <w:proofErr w:type="spellEnd"/>
      <w:r>
        <w:t xml:space="preserve"> материалов на такие свойства, как теплопроводность</w:t>
      </w:r>
      <w:r>
        <w:t xml:space="preserve">, шероховатость (неровность) удара, ползучесть, сила сжатия и т.д. В этих случаях совместное исследование (см. 10) может быть наиболее подходящим подходом для </w:t>
      </w:r>
      <w:proofErr w:type="spellStart"/>
      <w:r>
        <w:t>характеризации</w:t>
      </w:r>
      <w:proofErr w:type="spellEnd"/>
      <w:r>
        <w:t xml:space="preserve"> СО. Дополнительной сложностью является то, что для многих из этих испытаний не орг</w:t>
      </w:r>
      <w:r>
        <w:t xml:space="preserve">анизованы (ключевые) сличения. В этом смысле между сертификацией (аттестацией) физических свойств и аттестацией, </w:t>
      </w:r>
      <w:proofErr w:type="gramStart"/>
      <w:r>
        <w:t>например</w:t>
      </w:r>
      <w:proofErr w:type="gramEnd"/>
      <w:r>
        <w:t xml:space="preserve"> химического состава, нет фундаментального различия.</w:t>
      </w:r>
    </w:p>
    <w:p w:rsidR="00000000" w:rsidRDefault="005829C2">
      <w:pPr>
        <w:pStyle w:val="FORMATTEXT"/>
        <w:ind w:firstLine="568"/>
        <w:jc w:val="both"/>
      </w:pPr>
    </w:p>
    <w:p w:rsidR="00000000" w:rsidRDefault="005829C2">
      <w:pPr>
        <w:pStyle w:val="FORMATTEXT"/>
        <w:ind w:firstLine="568"/>
        <w:jc w:val="both"/>
      </w:pPr>
      <w:r>
        <w:t xml:space="preserve">Ключевые сличения, </w:t>
      </w:r>
      <w:proofErr w:type="gramStart"/>
      <w:r>
        <w:t>также</w:t>
      </w:r>
      <w:proofErr w:type="gramEnd"/>
      <w:r>
        <w:t xml:space="preserve"> как и другие виды лабораторных сличений, повышают довери</w:t>
      </w:r>
      <w:r>
        <w:t>е к неопределенности, индивидуально рассчитанной метрологическими лабораториями. В идеальном случае результаты таких сличений используются для улучшения моделей и/или оценок их переменных величин и/или неопределенностей. При отсутствии необходимости в улуч</w:t>
      </w:r>
      <w:r>
        <w:t>шениях такого рода участие в этих сличениях является важным средством демонстрации измерительных возможностей (метрологической) лаборатории. Сличения позволяют обнаружить погрешности, которые не учитывались должным образом, и ситуации, при которых некоторы</w:t>
      </w:r>
      <w:r>
        <w:t>е влияющие на измерения показатели недостаточно хорошо контролируются и/или оцениваются.</w:t>
      </w:r>
    </w:p>
    <w:p w:rsidR="00000000" w:rsidRDefault="005829C2">
      <w:pPr>
        <w:pStyle w:val="FORMATTEXT"/>
        <w:ind w:firstLine="568"/>
        <w:jc w:val="both"/>
      </w:pPr>
    </w:p>
    <w:p w:rsidR="00000000" w:rsidRDefault="005829C2">
      <w:pPr>
        <w:pStyle w:val="FORMATTEXT"/>
        <w:ind w:firstLine="568"/>
        <w:jc w:val="both"/>
      </w:pPr>
      <w:proofErr w:type="spellStart"/>
      <w:r>
        <w:t>Характеризация</w:t>
      </w:r>
      <w:proofErr w:type="spellEnd"/>
      <w:r>
        <w:t> СО на основе результатов одной (метрологической) лаборатории может, несмотря на все усилия, заключать в себе риск, который не следует недооценивать. Пр</w:t>
      </w:r>
      <w:r>
        <w:t>и сертификации (аттестации) физического свойства или количественного значения параметра важно проводить (ключевое) сличение между основными метрологическими лабораториями с последующим полным обсуждением результатов со всеми участниками для решения проблем</w:t>
      </w:r>
      <w:r>
        <w:t xml:space="preserve"> любых возможных расхождений. Если НМИ не сами проводят измерения, то до начала работ необходимо установить полную цепь </w:t>
      </w:r>
      <w:proofErr w:type="spellStart"/>
      <w:r>
        <w:t>прослеживаемости</w:t>
      </w:r>
      <w:proofErr w:type="spellEnd"/>
      <w:r>
        <w:t xml:space="preserve"> участвующих лабораторий к соответствующим национальным лабораториям.</w:t>
      </w:r>
    </w:p>
    <w:p w:rsidR="00000000" w:rsidRDefault="005829C2">
      <w:pPr>
        <w:pStyle w:val="FORMATTEXT"/>
        <w:ind w:firstLine="568"/>
        <w:jc w:val="both"/>
      </w:pPr>
    </w:p>
    <w:p w:rsidR="00000000" w:rsidRDefault="005829C2">
      <w:pPr>
        <w:pStyle w:val="FORMATTEXT"/>
        <w:ind w:firstLine="568"/>
        <w:jc w:val="both"/>
      </w:pPr>
      <w:r>
        <w:t>Если возможно применение нескольких методов и эти</w:t>
      </w:r>
      <w:r>
        <w:t xml:space="preserve"> методы равнозначно узаконены, важно их сравнить. Но они должны иметь одинаковый уровень точности, иначе для сертификации (аттестации) разрабатываемого стандартного образца будет предпочтителен более точный метод.</w:t>
      </w:r>
    </w:p>
    <w:p w:rsidR="00000000" w:rsidRDefault="005829C2">
      <w:pPr>
        <w:pStyle w:val="FORMATTEXT"/>
        <w:ind w:firstLine="568"/>
        <w:jc w:val="both"/>
      </w:pPr>
    </w:p>
    <w:p w:rsidR="00000000" w:rsidRDefault="005829C2">
      <w:pPr>
        <w:pStyle w:val="FORMATTEXT"/>
        <w:ind w:firstLine="568"/>
        <w:jc w:val="both"/>
      </w:pPr>
      <w:r>
        <w:t>Конечно, могут быть ситуации, когда отдел</w:t>
      </w:r>
      <w:r>
        <w:t xml:space="preserve">ьная лаборатория, сравнив свой метод со всеми возможными другими и исключив большинство причин возникновения погрешностей, сможет доработать свой метод с целью уменьшения неопределенности и принять необходимые меры во избежание любого случайного источника </w:t>
      </w:r>
      <w:r>
        <w:t>погрешностей.</w:t>
      </w:r>
    </w:p>
    <w:p w:rsidR="00000000" w:rsidRDefault="005829C2">
      <w:pPr>
        <w:pStyle w:val="FORMATTEXT"/>
        <w:ind w:firstLine="568"/>
        <w:jc w:val="both"/>
      </w:pPr>
    </w:p>
    <w:p w:rsidR="00000000" w:rsidRDefault="005829C2">
      <w:pPr>
        <w:pStyle w:val="FORMATTEXT"/>
        <w:ind w:firstLine="568"/>
        <w:jc w:val="both"/>
      </w:pPr>
      <w:r>
        <w:rPr>
          <w:b/>
          <w:bCs/>
        </w:rPr>
        <w:t>9.5.2 СО химического состава</w:t>
      </w:r>
    </w:p>
    <w:p w:rsidR="00000000" w:rsidRDefault="005829C2">
      <w:pPr>
        <w:pStyle w:val="FORMATTEXT"/>
        <w:ind w:firstLine="568"/>
        <w:jc w:val="both"/>
      </w:pPr>
    </w:p>
    <w:p w:rsidR="00000000" w:rsidRDefault="005829C2">
      <w:pPr>
        <w:pStyle w:val="FORMATTEXT"/>
        <w:ind w:firstLine="568"/>
        <w:jc w:val="both"/>
      </w:pPr>
      <w:r>
        <w:t>9.5.2.1 СО чистых веществ</w:t>
      </w:r>
    </w:p>
    <w:p w:rsidR="00000000" w:rsidRDefault="005829C2">
      <w:pPr>
        <w:pStyle w:val="FORMATTEXT"/>
        <w:ind w:firstLine="568"/>
        <w:jc w:val="both"/>
      </w:pPr>
    </w:p>
    <w:p w:rsidR="00000000" w:rsidRDefault="005829C2">
      <w:pPr>
        <w:pStyle w:val="FORMATTEXT"/>
        <w:ind w:firstLine="568"/>
        <w:jc w:val="both"/>
      </w:pPr>
      <w:r>
        <w:t>Чистые вещества формируют основу многих поверочных схем в химии. Прилагательное "чистый" относится к идеализированной ситуации: не существует вещества 100% чистоты, всегда будут присут</w:t>
      </w:r>
      <w:r>
        <w:t xml:space="preserve">ствовать незначительные примеси. Сертификация (аттестация) веществ на чистоту - важный краеугольный камень обеспечения </w:t>
      </w:r>
      <w:proofErr w:type="spellStart"/>
      <w:r>
        <w:t>прослеживаемости</w:t>
      </w:r>
      <w:proofErr w:type="spellEnd"/>
      <w:r>
        <w:t xml:space="preserve"> в химических измерениях. ССО (АСО) либо используются лабораториями для приготовления </w:t>
      </w:r>
      <w:proofErr w:type="spellStart"/>
      <w:r>
        <w:t>градуировочных</w:t>
      </w:r>
      <w:proofErr w:type="spellEnd"/>
      <w:r>
        <w:t xml:space="preserve"> растворов, либо для </w:t>
      </w:r>
      <w:r>
        <w:t>сертификации (аттестации) или приготовления других ССО (АСО), таких как растворы или газовые смеси. Для введения добавок (см. 5.6.4) важно, чтобы использованные методы были тщательным образом охарактеризованы по чистоте. Кроме того, для преобразования из м</w:t>
      </w:r>
      <w:r>
        <w:t>ассовых долей в доли количества вещества следует иметь целую таблицу примесей и их массовых долей.</w:t>
      </w:r>
    </w:p>
    <w:p w:rsidR="00000000" w:rsidRDefault="005829C2">
      <w:pPr>
        <w:pStyle w:val="FORMATTEXT"/>
        <w:ind w:firstLine="568"/>
        <w:jc w:val="both"/>
      </w:pPr>
    </w:p>
    <w:p w:rsidR="00000000" w:rsidRDefault="005829C2">
      <w:pPr>
        <w:pStyle w:val="FORMATTEXT"/>
        <w:ind w:firstLine="568"/>
        <w:jc w:val="both"/>
      </w:pPr>
      <w:r>
        <w:t xml:space="preserve">Наряду с прямым методом, </w:t>
      </w:r>
      <w:proofErr w:type="gramStart"/>
      <w:r>
        <w:t>например</w:t>
      </w:r>
      <w:proofErr w:type="gramEnd"/>
      <w:r>
        <w:t xml:space="preserve"> через калориметрию (понижение температуры затвердевания), чистоту часто определяют дифференциальным методом с привлечением</w:t>
      </w:r>
      <w:r>
        <w:t xml:space="preserve"> аналитических химических методов, как указано ниже:</w:t>
      </w:r>
    </w:p>
    <w:p w:rsidR="00000000" w:rsidRDefault="005829C2">
      <w:pPr>
        <w:pStyle w:val="FORMATTEXT"/>
        <w:ind w:firstLine="568"/>
        <w:jc w:val="both"/>
      </w:pPr>
    </w:p>
    <w:p w:rsidR="00000000" w:rsidRDefault="005829C2">
      <w:pPr>
        <w:pStyle w:val="FORMATTEXT"/>
        <w:ind w:firstLine="568"/>
        <w:jc w:val="both"/>
      </w:pPr>
      <w:r>
        <w:t>- составляют перечень возможных примесей, часто на основе процесса, который был использован при производстве этого вещества;</w:t>
      </w:r>
    </w:p>
    <w:p w:rsidR="00000000" w:rsidRDefault="005829C2">
      <w:pPr>
        <w:pStyle w:val="FORMATTEXT"/>
        <w:ind w:firstLine="568"/>
        <w:jc w:val="both"/>
      </w:pPr>
    </w:p>
    <w:p w:rsidR="00000000" w:rsidRDefault="005829C2">
      <w:pPr>
        <w:pStyle w:val="FORMATTEXT"/>
        <w:ind w:firstLine="568"/>
        <w:jc w:val="both"/>
      </w:pPr>
      <w:r>
        <w:t>- в сертифицируемом (аттестуемом) веществе определяют каждую из возможных пр</w:t>
      </w:r>
      <w:r>
        <w:t>имесей;</w:t>
      </w:r>
    </w:p>
    <w:p w:rsidR="00000000" w:rsidRDefault="005829C2">
      <w:pPr>
        <w:pStyle w:val="FORMATTEXT"/>
        <w:ind w:firstLine="568"/>
        <w:jc w:val="both"/>
      </w:pPr>
    </w:p>
    <w:p w:rsidR="00000000" w:rsidRDefault="005829C2">
      <w:pPr>
        <w:pStyle w:val="FORMATTEXT"/>
        <w:ind w:firstLine="568"/>
        <w:jc w:val="both"/>
      </w:pPr>
      <w:r>
        <w:t>- чистоту рассчитывают с использованием дифференциальных методов.</w:t>
      </w:r>
    </w:p>
    <w:p w:rsidR="00000000" w:rsidRDefault="005829C2">
      <w:pPr>
        <w:pStyle w:val="FORMATTEXT"/>
        <w:ind w:firstLine="568"/>
        <w:jc w:val="both"/>
      </w:pPr>
    </w:p>
    <w:p w:rsidR="00000000" w:rsidRDefault="005829C2">
      <w:pPr>
        <w:pStyle w:val="FORMATTEXT"/>
        <w:ind w:firstLine="568"/>
        <w:jc w:val="both"/>
      </w:pPr>
      <w:r>
        <w:t>Измерения, необходимые для определения примесей, часто очень сложны, так как большинство примесей близки к пределам обнаружения и/или определения. К определению примесей можно прив</w:t>
      </w:r>
      <w:r>
        <w:t xml:space="preserve">лечь многие методы/лаборатории, включая подходы, описанные в 9.4.2. Это может привести к </w:t>
      </w:r>
      <w:r>
        <w:lastRenderedPageBreak/>
        <w:t>высоким относительным неопределенностям для долей количества вещества этих примесей. Оценка неопределенностей также далеко непроста, так как близость математических пр</w:t>
      </w:r>
      <w:r>
        <w:t>еделов (количество вещества и массовые доли определяются только между 0 и 1) может создать дополнительные проблемы, включая отрицательные оценки таких долей (см., например, приложение F [15]).</w:t>
      </w:r>
    </w:p>
    <w:p w:rsidR="00000000" w:rsidRDefault="005829C2">
      <w:pPr>
        <w:pStyle w:val="FORMATTEXT"/>
        <w:ind w:firstLine="568"/>
        <w:jc w:val="both"/>
      </w:pPr>
    </w:p>
    <w:p w:rsidR="00000000" w:rsidRDefault="005829C2">
      <w:pPr>
        <w:pStyle w:val="FORMATTEXT"/>
        <w:ind w:firstLine="568"/>
        <w:jc w:val="both"/>
      </w:pPr>
      <w:r>
        <w:t xml:space="preserve">Модель доли количества вещества основного компонента </w:t>
      </w:r>
      <w:r>
        <w:rPr>
          <w:i/>
          <w:iCs/>
        </w:rPr>
        <w:t>у</w:t>
      </w:r>
      <w:r>
        <w:t xml:space="preserve"> как фун</w:t>
      </w:r>
      <w:r>
        <w:t xml:space="preserve">кции </w:t>
      </w:r>
      <w:r>
        <w:rPr>
          <w:i/>
          <w:iCs/>
        </w:rPr>
        <w:t>k</w:t>
      </w:r>
      <w:r>
        <w:t xml:space="preserve"> примесей с количеством вещества </w:t>
      </w:r>
      <w:r>
        <w:rPr>
          <w:i/>
          <w:iCs/>
        </w:rPr>
        <w:t>х</w:t>
      </w:r>
      <w:r w:rsidR="00862BD0">
        <w:rPr>
          <w:noProof/>
          <w:position w:val="-10"/>
        </w:rPr>
        <w:drawing>
          <wp:inline distT="0" distB="0" distL="0" distR="0">
            <wp:extent cx="85725" cy="228600"/>
            <wp:effectExtent l="0" t="0" r="9525" b="0"/>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t xml:space="preserve"> выглядит как:</w:t>
      </w:r>
    </w:p>
    <w:p w:rsidR="00000000" w:rsidRDefault="005829C2">
      <w:pPr>
        <w:pStyle w:val="FORMATTEXT"/>
        <w:ind w:firstLine="568"/>
        <w:jc w:val="both"/>
      </w:pPr>
    </w:p>
    <w:p w:rsidR="00000000" w:rsidRDefault="00862BD0">
      <w:pPr>
        <w:pStyle w:val="FORMATTEXT"/>
        <w:jc w:val="right"/>
      </w:pPr>
      <w:r>
        <w:rPr>
          <w:noProof/>
          <w:position w:val="-17"/>
        </w:rPr>
        <w:drawing>
          <wp:inline distT="0" distB="0" distL="0" distR="0">
            <wp:extent cx="762000" cy="428625"/>
            <wp:effectExtent l="0" t="0" r="0" b="9525"/>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762000" cy="428625"/>
                    </a:xfrm>
                    <a:prstGeom prst="rect">
                      <a:avLst/>
                    </a:prstGeom>
                    <a:noFill/>
                    <a:ln>
                      <a:noFill/>
                    </a:ln>
                  </pic:spPr>
                </pic:pic>
              </a:graphicData>
            </a:graphic>
          </wp:inline>
        </w:drawing>
      </w:r>
      <w:r w:rsidR="005829C2">
        <w:t xml:space="preserve">.                                                            (20) </w:t>
      </w:r>
    </w:p>
    <w:p w:rsidR="00000000" w:rsidRDefault="005829C2">
      <w:pPr>
        <w:pStyle w:val="FORMATTEXT"/>
        <w:ind w:firstLine="568"/>
        <w:jc w:val="both"/>
      </w:pPr>
      <w:r>
        <w:t>Предполагая независимость между долями количества вещества при</w:t>
      </w:r>
      <w:r>
        <w:t>месей (что часто имеет место), суммарная стандартная неопределенность долей количества вещества основного компонента рассчитывается по формуле:</w:t>
      </w:r>
    </w:p>
    <w:p w:rsidR="00000000" w:rsidRDefault="005829C2">
      <w:pPr>
        <w:pStyle w:val="FORMATTEXT"/>
        <w:ind w:firstLine="568"/>
        <w:jc w:val="both"/>
      </w:pPr>
    </w:p>
    <w:p w:rsidR="00000000" w:rsidRDefault="00862BD0">
      <w:pPr>
        <w:pStyle w:val="FORMATTEXT"/>
        <w:jc w:val="right"/>
      </w:pPr>
      <w:r>
        <w:rPr>
          <w:noProof/>
          <w:position w:val="-17"/>
        </w:rPr>
        <w:drawing>
          <wp:inline distT="0" distB="0" distL="0" distR="0">
            <wp:extent cx="1076325" cy="428625"/>
            <wp:effectExtent l="0" t="0" r="9525" b="9525"/>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076325" cy="428625"/>
                    </a:xfrm>
                    <a:prstGeom prst="rect">
                      <a:avLst/>
                    </a:prstGeom>
                    <a:noFill/>
                    <a:ln>
                      <a:noFill/>
                    </a:ln>
                  </pic:spPr>
                </pic:pic>
              </a:graphicData>
            </a:graphic>
          </wp:inline>
        </w:drawing>
      </w:r>
      <w:r w:rsidR="005829C2">
        <w:t xml:space="preserve">,                                                      (21) </w:t>
      </w:r>
    </w:p>
    <w:p w:rsidR="00000000" w:rsidRDefault="005829C2">
      <w:pPr>
        <w:pStyle w:val="FORMATTEXT"/>
        <w:jc w:val="both"/>
      </w:pPr>
    </w:p>
    <w:p w:rsidR="00000000" w:rsidRDefault="005829C2">
      <w:pPr>
        <w:pStyle w:val="FORMATTEXT"/>
        <w:jc w:val="both"/>
      </w:pPr>
    </w:p>
    <w:p w:rsidR="00000000" w:rsidRDefault="005829C2">
      <w:pPr>
        <w:pStyle w:val="FORMATTEXT"/>
        <w:jc w:val="both"/>
      </w:pPr>
      <w:r>
        <w:t xml:space="preserve">что следует </w:t>
      </w:r>
      <w:r>
        <w:t>непосредственно из применения формулы распределения неопределенности из GUM к модели</w:t>
      </w:r>
      <w:r w:rsidR="00862BD0">
        <w:rPr>
          <w:noProof/>
          <w:position w:val="-9"/>
        </w:rPr>
        <w:drawing>
          <wp:inline distT="0" distB="0" distL="0" distR="0">
            <wp:extent cx="85725" cy="219075"/>
            <wp:effectExtent l="0" t="0" r="9525" b="9525"/>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t xml:space="preserve">. Часто случается, что некоторые из долей количества вещества </w:t>
      </w:r>
      <w:r>
        <w:rPr>
          <w:i/>
          <w:iCs/>
        </w:rPr>
        <w:t>x</w:t>
      </w:r>
      <w:r w:rsidR="00862BD0">
        <w:rPr>
          <w:noProof/>
          <w:position w:val="-10"/>
        </w:rPr>
        <w:drawing>
          <wp:inline distT="0" distB="0" distL="0" distR="0">
            <wp:extent cx="85725" cy="228600"/>
            <wp:effectExtent l="0" t="0" r="9525" b="0"/>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t xml:space="preserve"> равны нулю вследствие того, что эти пр</w:t>
      </w:r>
      <w:r>
        <w:t>имеси действительно либо отсутствуют, либо их уровни ниже предела обнаружения метода измерений. Если предел обнаружения используется для установления значения примеси, то этот предел должен также использоваться для установления стандартной неопределенности</w:t>
      </w:r>
      <w:r>
        <w:t>, указывающей, что этот предел обнаружения определяет наивысший уровень конкретной примеси, которую невозможно обнаружить.</w:t>
      </w:r>
    </w:p>
    <w:p w:rsidR="00000000" w:rsidRDefault="005829C2">
      <w:pPr>
        <w:pStyle w:val="FORMATTEXT"/>
        <w:jc w:val="both"/>
      </w:pPr>
      <w:r>
        <w:t xml:space="preserve">________________ </w:t>
      </w:r>
    </w:p>
    <w:p w:rsidR="00000000" w:rsidRDefault="00862BD0">
      <w:pPr>
        <w:pStyle w:val="FORMATTEXT"/>
        <w:ind w:firstLine="568"/>
        <w:jc w:val="both"/>
      </w:pPr>
      <w:r>
        <w:rPr>
          <w:noProof/>
          <w:position w:val="-9"/>
        </w:rPr>
        <w:drawing>
          <wp:inline distT="0" distB="0" distL="0" distR="0">
            <wp:extent cx="85725" cy="219075"/>
            <wp:effectExtent l="0" t="0" r="9525" b="9525"/>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rsidR="005829C2">
        <w:t>Это точное выражение, т.к. модель является линейной и предполагается, что значе</w:t>
      </w:r>
      <w:r w:rsidR="005829C2">
        <w:t>ние x</w:t>
      </w:r>
      <w:r>
        <w:rPr>
          <w:noProof/>
          <w:position w:val="-10"/>
        </w:rPr>
        <w:drawing>
          <wp:inline distT="0" distB="0" distL="0" distR="0">
            <wp:extent cx="85725" cy="228600"/>
            <wp:effectExtent l="0" t="0" r="9525" b="0"/>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rsidR="005829C2">
        <w:t xml:space="preserve"> - независимое.</w:t>
      </w:r>
    </w:p>
    <w:p w:rsidR="00000000" w:rsidRDefault="005829C2">
      <w:pPr>
        <w:pStyle w:val="FORMATTEXT"/>
        <w:ind w:firstLine="568"/>
        <w:jc w:val="both"/>
      </w:pPr>
    </w:p>
    <w:p w:rsidR="00000000" w:rsidRDefault="005829C2">
      <w:pPr>
        <w:pStyle w:val="FORMATTEXT"/>
        <w:ind w:firstLine="568"/>
        <w:jc w:val="both"/>
      </w:pPr>
      <w:r>
        <w:t>9.5.2.2 Газовые смеси и синтетические стандартные образцы</w:t>
      </w:r>
    </w:p>
    <w:p w:rsidR="00000000" w:rsidRDefault="005829C2">
      <w:pPr>
        <w:pStyle w:val="FORMATTEXT"/>
        <w:ind w:firstLine="568"/>
        <w:jc w:val="both"/>
      </w:pPr>
    </w:p>
    <w:p w:rsidR="00000000" w:rsidRDefault="005829C2">
      <w:pPr>
        <w:pStyle w:val="FORMATTEXT"/>
        <w:ind w:firstLine="568"/>
        <w:jc w:val="both"/>
      </w:pPr>
      <w:r>
        <w:t>Синтетические СО, такие как растворы и газовые смеси, широко используют для калибровки. Эти ССО (АСО) часто изготавливают посредством грави</w:t>
      </w:r>
      <w:r>
        <w:t>метрии. Если гравиметрический метод применяется для приготовления основного объема раствора, который затем подвергается процедурам отбора проб и разлива в емкости, то партия может быть сертифицирована (аттестована) следующим образом:</w:t>
      </w:r>
    </w:p>
    <w:p w:rsidR="00000000" w:rsidRDefault="005829C2">
      <w:pPr>
        <w:pStyle w:val="FORMATTEXT"/>
        <w:ind w:firstLine="568"/>
        <w:jc w:val="both"/>
      </w:pPr>
    </w:p>
    <w:p w:rsidR="00000000" w:rsidRDefault="005829C2">
      <w:pPr>
        <w:pStyle w:val="FORMATTEXT"/>
        <w:ind w:firstLine="568"/>
        <w:jc w:val="both"/>
      </w:pPr>
      <w:r>
        <w:t>- этап 1: состав, уст</w:t>
      </w:r>
      <w:r>
        <w:t>ановленный гравиметрическим методом, берется за основу при сертификации (аттестации);</w:t>
      </w:r>
    </w:p>
    <w:p w:rsidR="00000000" w:rsidRDefault="005829C2">
      <w:pPr>
        <w:pStyle w:val="FORMATTEXT"/>
        <w:ind w:firstLine="568"/>
        <w:jc w:val="both"/>
      </w:pPr>
    </w:p>
    <w:p w:rsidR="00000000" w:rsidRDefault="005829C2">
      <w:pPr>
        <w:pStyle w:val="FORMATTEXT"/>
        <w:ind w:firstLine="568"/>
        <w:jc w:val="both"/>
      </w:pPr>
      <w:r>
        <w:t>- этап 2: состав, установленный гравиметрическим методом, проверяется с использованием подходящего аналитического метода;</w:t>
      </w:r>
    </w:p>
    <w:p w:rsidR="00000000" w:rsidRDefault="005829C2">
      <w:pPr>
        <w:pStyle w:val="FORMATTEXT"/>
        <w:ind w:firstLine="568"/>
        <w:jc w:val="both"/>
      </w:pPr>
    </w:p>
    <w:p w:rsidR="00000000" w:rsidRDefault="005829C2">
      <w:pPr>
        <w:pStyle w:val="FORMATTEXT"/>
        <w:ind w:firstLine="568"/>
        <w:jc w:val="both"/>
      </w:pPr>
      <w:r>
        <w:t>- этап 3: проводится исследование однородности</w:t>
      </w:r>
      <w:r>
        <w:t xml:space="preserve"> для определения изменений между экземплярами;</w:t>
      </w:r>
    </w:p>
    <w:p w:rsidR="00000000" w:rsidRDefault="005829C2">
      <w:pPr>
        <w:pStyle w:val="FORMATTEXT"/>
        <w:ind w:firstLine="568"/>
        <w:jc w:val="both"/>
      </w:pPr>
    </w:p>
    <w:p w:rsidR="00000000" w:rsidRDefault="005829C2">
      <w:pPr>
        <w:pStyle w:val="FORMATTEXT"/>
        <w:ind w:firstLine="568"/>
        <w:jc w:val="both"/>
      </w:pPr>
      <w:r>
        <w:t>- этап 4: проводится исследование стабильности для определения долговременной стабильности.</w:t>
      </w:r>
    </w:p>
    <w:p w:rsidR="00000000" w:rsidRDefault="005829C2">
      <w:pPr>
        <w:pStyle w:val="FORMATTEXT"/>
        <w:ind w:firstLine="568"/>
        <w:jc w:val="both"/>
      </w:pPr>
    </w:p>
    <w:p w:rsidR="00000000" w:rsidRDefault="005829C2">
      <w:pPr>
        <w:pStyle w:val="FORMATTEXT"/>
        <w:ind w:firstLine="568"/>
        <w:jc w:val="both"/>
      </w:pPr>
      <w:r>
        <w:t>Ожидается, что влияния неопределенности измерений от этапов 2 и 3 будут незначительными (см. разделы 7 и 8 для допо</w:t>
      </w:r>
      <w:r>
        <w:t xml:space="preserve">лнительной информации по этим этапам), но их необходимо учитывать. Если они пренебрежимо малы, то величина от этих эффектов такова, что она не влияет на суммарную стандартную неопределенность значения параметра ССО (АСО). Неопределенность </w:t>
      </w:r>
      <w:proofErr w:type="spellStart"/>
      <w:r>
        <w:t>валидации</w:t>
      </w:r>
      <w:proofErr w:type="spellEnd"/>
      <w:r>
        <w:t xml:space="preserve"> включае</w:t>
      </w:r>
      <w:r>
        <w:t>тся в модель (до той степени, которая влияет на способность проверить состав) вместе неопределенностью гравиметрии. Суммарная стандартная неопределенность ССО (АСО) становится тогда:</w:t>
      </w:r>
    </w:p>
    <w:p w:rsidR="00000000" w:rsidRDefault="005829C2">
      <w:pPr>
        <w:pStyle w:val="FORMATTEXT"/>
        <w:ind w:firstLine="568"/>
        <w:jc w:val="both"/>
      </w:pPr>
    </w:p>
    <w:p w:rsidR="00000000" w:rsidRDefault="00862BD0">
      <w:pPr>
        <w:pStyle w:val="FORMATTEXT"/>
        <w:jc w:val="right"/>
      </w:pPr>
      <w:r>
        <w:rPr>
          <w:noProof/>
          <w:position w:val="-13"/>
        </w:rPr>
        <w:drawing>
          <wp:inline distT="0" distB="0" distL="0" distR="0">
            <wp:extent cx="2028825" cy="314325"/>
            <wp:effectExtent l="0" t="0" r="9525" b="9525"/>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028825" cy="314325"/>
                    </a:xfrm>
                    <a:prstGeom prst="rect">
                      <a:avLst/>
                    </a:prstGeom>
                    <a:noFill/>
                    <a:ln>
                      <a:noFill/>
                    </a:ln>
                  </pic:spPr>
                </pic:pic>
              </a:graphicData>
            </a:graphic>
          </wp:inline>
        </w:drawing>
      </w:r>
      <w:r w:rsidR="005829C2">
        <w:t>.                                    </w:t>
      </w:r>
      <w:r w:rsidR="005829C2">
        <w:t xml:space="preserve">              (22) </w:t>
      </w:r>
    </w:p>
    <w:p w:rsidR="00000000" w:rsidRDefault="005829C2">
      <w:pPr>
        <w:pStyle w:val="FORMATTEXT"/>
        <w:ind w:firstLine="568"/>
        <w:jc w:val="both"/>
      </w:pPr>
      <w:r>
        <w:t xml:space="preserve">Например, для приготовления гравиметрическим методом газовых смесей устанавливаются </w:t>
      </w:r>
      <w:r>
        <w:lastRenderedPageBreak/>
        <w:t>модели, которые до некоторой степени могут находить применение также и за пределами этой конкретной области. В ISO 6142 [35] описывает приготовление и п</w:t>
      </w:r>
      <w:r>
        <w:t xml:space="preserve">риписывание значений для гравиметрического приготовления газовых смесей. Однако для партий газовых баллонов часто используют другие методы [36]. Эти партии сертифицируют (аттестуют) с использованием </w:t>
      </w:r>
      <w:proofErr w:type="spellStart"/>
      <w:r>
        <w:t>гравиметрически</w:t>
      </w:r>
      <w:proofErr w:type="spellEnd"/>
      <w:r>
        <w:t xml:space="preserve"> приготовленных газовых смесей, используем</w:t>
      </w:r>
      <w:r>
        <w:t xml:space="preserve">ых в качестве </w:t>
      </w:r>
      <w:proofErr w:type="spellStart"/>
      <w:r>
        <w:t>градуировочных</w:t>
      </w:r>
      <w:proofErr w:type="spellEnd"/>
      <w:r>
        <w:t xml:space="preserve"> СО (поверочных газовых смесей). Подробная модель неопределенности, основанная на методах, описанных в ISO 6142, приведена в [32]. Основываясь на приготовлении, состав смеси может быть выражен в виде долей количества вещества ко</w:t>
      </w:r>
      <w:r>
        <w:t>мпонентов исходных газов. Этими исходными газами являются газы, используемые для приготовления смеси, которые сами могут быть смесями или чистыми газами (см. 9.5.1).</w:t>
      </w:r>
    </w:p>
    <w:p w:rsidR="00000000" w:rsidRDefault="005829C2">
      <w:pPr>
        <w:pStyle w:val="FORMATTEXT"/>
        <w:ind w:firstLine="568"/>
        <w:jc w:val="both"/>
      </w:pPr>
    </w:p>
    <w:p w:rsidR="00000000" w:rsidRDefault="005829C2">
      <w:pPr>
        <w:pStyle w:val="FORMATTEXT"/>
        <w:ind w:firstLine="568"/>
        <w:jc w:val="both"/>
      </w:pPr>
      <w:r>
        <w:t>В модели ISO 6142 учтены примеси исходных газов, что является важным условием приготовлен</w:t>
      </w:r>
      <w:r>
        <w:t xml:space="preserve">ия газовых смесей с </w:t>
      </w:r>
      <w:proofErr w:type="spellStart"/>
      <w:r>
        <w:t>прослеживаемостью</w:t>
      </w:r>
      <w:proofErr w:type="spellEnd"/>
      <w:r>
        <w:t xml:space="preserve"> к единице системы СИ, в данном случае - к единице измерений моль. Данная модель может не учитывать некоторые явления, например, то, что состав, входящий в баллон, необязательно тот же самый, что может быть взят из балл</w:t>
      </w:r>
      <w:r>
        <w:t>она. Например, это может являться следствием явлений абсорбции/десорбции. Кроме того, требуется проверка контроля качества на предмет ошибок, которые могут быть допущены в процессе приготовления. Для этого доля количества вещества, полученная гравиметричес</w:t>
      </w:r>
      <w:r>
        <w:t>ким методом, сравнивается с долей количества вещества, полученного аналитическим ("подтвержденным") методом, и предполагается, что состав, полученный в процессе приготовления, не отличается от состава, полученного в ходе аналитической проверки [35], [37].</w:t>
      </w:r>
    </w:p>
    <w:p w:rsidR="00000000" w:rsidRDefault="005829C2">
      <w:pPr>
        <w:pStyle w:val="FORMATTEXT"/>
        <w:ind w:firstLine="568"/>
        <w:jc w:val="both"/>
      </w:pPr>
    </w:p>
    <w:p w:rsidR="00000000" w:rsidRDefault="005829C2">
      <w:pPr>
        <w:pStyle w:val="FORMATTEXT"/>
        <w:ind w:firstLine="568"/>
        <w:jc w:val="both"/>
      </w:pPr>
      <w:r>
        <w:t>9.5.2.3 Добавка "холостых проб" и "холостых матриц"</w:t>
      </w:r>
    </w:p>
    <w:p w:rsidR="00000000" w:rsidRDefault="005829C2">
      <w:pPr>
        <w:pStyle w:val="FORMATTEXT"/>
        <w:ind w:firstLine="568"/>
        <w:jc w:val="both"/>
      </w:pPr>
    </w:p>
    <w:p w:rsidR="00000000" w:rsidRDefault="005829C2">
      <w:pPr>
        <w:pStyle w:val="FORMATTEXT"/>
        <w:ind w:firstLine="568"/>
        <w:jc w:val="both"/>
      </w:pPr>
      <w:r>
        <w:t>Для добавок "холостых проб" и/или "холостых матриц" можно использовать тот же метод, который применяется для синтетических ССО (АСО). Единственная дополнительная сложность состоит в необходимости подтве</w:t>
      </w:r>
      <w:r>
        <w:t xml:space="preserve">рждения того, что добавляемый материал - действительно "холостая проба" или что присутствие некоторых небольших количеств добавляемых веществ можно обнаружить. В этом случае такие количества следует принимать во внимание в модели для значения параметра и, </w:t>
      </w:r>
      <w:r>
        <w:t>следовательно, также в модели неопределенности.</w:t>
      </w:r>
    </w:p>
    <w:p w:rsidR="00000000" w:rsidRDefault="005829C2">
      <w:pPr>
        <w:pStyle w:val="FORMATTEXT"/>
        <w:ind w:firstLine="568"/>
        <w:jc w:val="both"/>
      </w:pPr>
    </w:p>
    <w:p w:rsidR="00000000" w:rsidRDefault="005829C2">
      <w:pPr>
        <w:pStyle w:val="FORMATTEXT"/>
        <w:ind w:firstLine="568"/>
        <w:jc w:val="both"/>
      </w:pPr>
      <w:r>
        <w:t xml:space="preserve">Подход к сертификации (аттестации) может быть аналогичен подходу, изложенному в 9.5.2.1, но если существуют проблемы в преобразовании пробы (см. 9.2) или в определении неопределенности этого этапа, то можно </w:t>
      </w:r>
      <w:r>
        <w:t>также использовать один из подходов, описанных в 9.4. Реальный выбор очень сильно зависит от соображений, изложенных в 9.2 и 9.3.</w:t>
      </w:r>
    </w:p>
    <w:p w:rsidR="00000000" w:rsidRDefault="005829C2">
      <w:pPr>
        <w:pStyle w:val="FORMATTEXT"/>
        <w:ind w:firstLine="568"/>
        <w:jc w:val="both"/>
      </w:pPr>
    </w:p>
    <w:p w:rsidR="00000000" w:rsidRDefault="005829C2">
      <w:pPr>
        <w:pStyle w:val="FORMATTEXT"/>
        <w:ind w:firstLine="568"/>
        <w:jc w:val="both"/>
      </w:pPr>
      <w:r>
        <w:rPr>
          <w:b/>
          <w:bCs/>
        </w:rPr>
        <w:t>9.5.3 Сертификация (аттестация) условных параметров</w:t>
      </w:r>
    </w:p>
    <w:p w:rsidR="00000000" w:rsidRDefault="005829C2">
      <w:pPr>
        <w:pStyle w:val="FORMATTEXT"/>
        <w:ind w:firstLine="568"/>
        <w:jc w:val="both"/>
      </w:pPr>
    </w:p>
    <w:p w:rsidR="00000000" w:rsidRDefault="005829C2">
      <w:pPr>
        <w:pStyle w:val="FORMATTEXT"/>
        <w:ind w:firstLine="568"/>
        <w:jc w:val="both"/>
      </w:pPr>
      <w:r>
        <w:t>В химии, биохимии и других областях измерений многие параметры определяю</w:t>
      </w:r>
      <w:r>
        <w:t xml:space="preserve">тся только методом, процедурой испытаний или конкретным оборудованием. Примерами могут служить механические свойства материалов, активность </w:t>
      </w:r>
      <w:proofErr w:type="spellStart"/>
      <w:r>
        <w:t>энзимов</w:t>
      </w:r>
      <w:proofErr w:type="spellEnd"/>
      <w:r>
        <w:t xml:space="preserve"> и т.д. Результаты этих измерений или испытаний могут значительно отличаться, что может привести к тяжелым эк</w:t>
      </w:r>
      <w:r>
        <w:t>ономическим последствиям.</w:t>
      </w:r>
    </w:p>
    <w:p w:rsidR="00000000" w:rsidRDefault="005829C2">
      <w:pPr>
        <w:pStyle w:val="FORMATTEXT"/>
        <w:ind w:firstLine="568"/>
        <w:jc w:val="both"/>
      </w:pPr>
    </w:p>
    <w:p w:rsidR="00000000" w:rsidRDefault="005829C2">
      <w:pPr>
        <w:pStyle w:val="FORMATTEXT"/>
        <w:ind w:firstLine="568"/>
        <w:jc w:val="both"/>
      </w:pPr>
      <w:r>
        <w:t>Как и в любом другом измерении, результаты зависят от того, как используется процедура. Но процедура не всегда описывается достаточно подробно в имеющихся стандартах, и у оператора нет возможности проверить правильность интерпрет</w:t>
      </w:r>
      <w:r>
        <w:t>ации и использования этой процедуры, отсюда возникает необходимость в СО.</w:t>
      </w:r>
    </w:p>
    <w:p w:rsidR="00000000" w:rsidRDefault="005829C2">
      <w:pPr>
        <w:pStyle w:val="FORMATTEXT"/>
        <w:ind w:firstLine="568"/>
        <w:jc w:val="both"/>
      </w:pPr>
    </w:p>
    <w:p w:rsidR="00000000" w:rsidRDefault="005829C2">
      <w:pPr>
        <w:pStyle w:val="FORMATTEXT"/>
        <w:ind w:firstLine="568"/>
        <w:jc w:val="both"/>
      </w:pPr>
      <w:r>
        <w:t>Также в тех случаях, когда испытание зависит от использования конкретной установки или оборудования, можно, но чрезвычайно трудоемко и дорогостояще подтвердить, что этот прибор удов</w:t>
      </w:r>
      <w:r>
        <w:t>летворяет всем техническим требованиям. Простой способ избежать этой проверки - измерить или проанализировать пробу, параметры которой известны. Если результаты удовлетворительные, это значит, что установка в хорошем состоянии и результаты можно рассматрив</w:t>
      </w:r>
      <w:r>
        <w:t xml:space="preserve">ать как имеющие </w:t>
      </w:r>
      <w:proofErr w:type="spellStart"/>
      <w:r>
        <w:t>прослеживаемость</w:t>
      </w:r>
      <w:proofErr w:type="spellEnd"/>
      <w:r>
        <w:t xml:space="preserve"> к измерительной шкале, установленной соответствующим эталоном.</w:t>
      </w:r>
    </w:p>
    <w:p w:rsidR="00000000" w:rsidRDefault="005829C2">
      <w:pPr>
        <w:pStyle w:val="FORMATTEXT"/>
        <w:ind w:firstLine="568"/>
        <w:jc w:val="both"/>
      </w:pPr>
    </w:p>
    <w:p w:rsidR="00000000" w:rsidRDefault="005829C2">
      <w:pPr>
        <w:pStyle w:val="FORMATTEXT"/>
        <w:ind w:firstLine="568"/>
        <w:jc w:val="both"/>
      </w:pPr>
      <w:r>
        <w:t xml:space="preserve">Конечно, работа по </w:t>
      </w:r>
      <w:proofErr w:type="spellStart"/>
      <w:r>
        <w:t>характеризации</w:t>
      </w:r>
      <w:proofErr w:type="spellEnd"/>
      <w:r>
        <w:t xml:space="preserve"> ССО (АСО) с целью установления таких параметров или измерительных шкал требует применения тех же самых принципов, которые был</w:t>
      </w:r>
      <w:r>
        <w:t>и изложены выше. Измерения таких параметров, как масса, объем, длина или температура, должны сами быть точными и прослеживаемыми и, следовательно, могут потребовать проведения большого объема калибровок. Часто необходимо тщательное исследование влияния раз</w:t>
      </w:r>
      <w:r>
        <w:t>личных параметров процедур и оборудования на результаты измерений. Поверка и калибровка должны проводиться независимо в нескольких лабораториях во избежание одинаковых систематических смещений результатов измерений, которые могут появиться при хорошей согл</w:t>
      </w:r>
      <w:r>
        <w:t xml:space="preserve">асованности результатов и дать иллюзию </w:t>
      </w:r>
      <w:r>
        <w:lastRenderedPageBreak/>
        <w:t>точности.</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10 Оценка результатов и неопределенности</w:t>
      </w: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10.1 Модели </w:t>
      </w:r>
    </w:p>
    <w:p w:rsidR="00000000" w:rsidRDefault="005829C2">
      <w:pPr>
        <w:pStyle w:val="FORMATTEXT"/>
        <w:ind w:firstLine="568"/>
        <w:jc w:val="both"/>
      </w:pPr>
      <w:r>
        <w:t>Даже самая эмпирическая оценка данных следует определенному правилу или набору правил, которые необязательно представлены в (математически</w:t>
      </w:r>
      <w:r>
        <w:t>х) выражениях. Для рассматриваемых здесь технических целей правила и зависимости выражаются в виде математических уравнений и называются моделями. Рассмотрим два основных вида этих моделей:</w:t>
      </w:r>
    </w:p>
    <w:p w:rsidR="00000000" w:rsidRDefault="005829C2">
      <w:pPr>
        <w:pStyle w:val="FORMATTEXT"/>
        <w:ind w:firstLine="568"/>
        <w:jc w:val="both"/>
      </w:pPr>
    </w:p>
    <w:p w:rsidR="00000000" w:rsidRDefault="005829C2">
      <w:pPr>
        <w:pStyle w:val="FORMATTEXT"/>
        <w:ind w:firstLine="568"/>
        <w:jc w:val="both"/>
      </w:pPr>
      <w:r>
        <w:t>а) теоретические модели, описывающие установление (чаще всего физ</w:t>
      </w:r>
      <w:r>
        <w:t>ических) зависимостей между влияющими переменными измерительной процедуры и значением определяемого параметра. Уравнения считаются точными и применяются для расчета сертифицированных (аттестованных) значений. На втором этапе та же самая модель измерений ис</w:t>
      </w:r>
      <w:r>
        <w:t>пользуется для суммирования оценок неопределенности, приписываемых влияющим переменным;</w:t>
      </w:r>
    </w:p>
    <w:p w:rsidR="00000000" w:rsidRDefault="005829C2">
      <w:pPr>
        <w:pStyle w:val="FORMATTEXT"/>
        <w:ind w:firstLine="568"/>
        <w:jc w:val="both"/>
      </w:pPr>
    </w:p>
    <w:p w:rsidR="00000000" w:rsidRDefault="005829C2">
      <w:pPr>
        <w:pStyle w:val="FORMATTEXT"/>
        <w:ind w:firstLine="568"/>
        <w:jc w:val="both"/>
      </w:pPr>
      <w:r>
        <w:t>b) эмпирические модели, описывающие предполагаемые зависимости между случайными переменными и определенными параметрами исходных (предполагаемых) распределений. Эти мо</w:t>
      </w:r>
      <w:r>
        <w:t>дели используют для разработки процедур определения приемлемой оценки статистических параметров рассматриваемых случайных переменных.</w:t>
      </w:r>
    </w:p>
    <w:p w:rsidR="00000000" w:rsidRDefault="005829C2">
      <w:pPr>
        <w:pStyle w:val="FORMATTEXT"/>
        <w:ind w:firstLine="568"/>
        <w:jc w:val="both"/>
      </w:pPr>
    </w:p>
    <w:p w:rsidR="00000000" w:rsidRDefault="005829C2">
      <w:pPr>
        <w:pStyle w:val="FORMATTEXT"/>
        <w:ind w:firstLine="568"/>
        <w:jc w:val="both"/>
      </w:pPr>
      <w:r>
        <w:t>Также существуют модели, представляющие собой смешанный вид из двух вышеуказанных моделей, часто называемые полуэмпиричес</w:t>
      </w:r>
      <w:r>
        <w:t>кими моделями. Примеры строго эмпирических моделей можно найти в приложении А, где описаны процедуры ANOVA для различных влияющих факторов. Теоретические и полуэмпирические модели и их использование при оценке неопределенности описаны в GUM и [15].</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w:t>
      </w:r>
      <w:r>
        <w:rPr>
          <w:b/>
          <w:bCs/>
          <w:color w:val="000001"/>
        </w:rPr>
        <w:t xml:space="preserve"> 10.2 Формы представления данных </w:t>
      </w:r>
    </w:p>
    <w:p w:rsidR="00000000" w:rsidRDefault="005829C2">
      <w:pPr>
        <w:pStyle w:val="FORMATTEXT"/>
        <w:ind w:firstLine="568"/>
        <w:jc w:val="both"/>
      </w:pPr>
      <w:r>
        <w:t xml:space="preserve">За исключением </w:t>
      </w:r>
      <w:proofErr w:type="gramStart"/>
      <w:r>
        <w:t>подхода</w:t>
      </w:r>
      <w:proofErr w:type="gramEnd"/>
      <w:r>
        <w:t xml:space="preserve"> а) 9.3, где форма представления данных состоит из одного или нескольких отдельных результатов измерений, полученных одним методом, и разумного указания неопределенности (см. ниже), представляемые дан</w:t>
      </w:r>
      <w:r>
        <w:t>ные могут быть оформлены в таблицы, содержащие для каждой участвующей лаборатории:</w:t>
      </w:r>
    </w:p>
    <w:p w:rsidR="00000000" w:rsidRDefault="005829C2">
      <w:pPr>
        <w:pStyle w:val="FORMATTEXT"/>
        <w:ind w:firstLine="568"/>
        <w:jc w:val="both"/>
      </w:pPr>
    </w:p>
    <w:p w:rsidR="00000000" w:rsidRDefault="005829C2">
      <w:pPr>
        <w:pStyle w:val="FORMATTEXT"/>
        <w:ind w:firstLine="568"/>
        <w:jc w:val="both"/>
      </w:pPr>
      <w:r>
        <w:t>1) соответствующую оценку определяемого параметра (оценка среднего) и указание неопределенности или</w:t>
      </w:r>
    </w:p>
    <w:p w:rsidR="00000000" w:rsidRDefault="005829C2">
      <w:pPr>
        <w:pStyle w:val="FORMATTEXT"/>
        <w:ind w:firstLine="568"/>
        <w:jc w:val="both"/>
      </w:pPr>
    </w:p>
    <w:p w:rsidR="00000000" w:rsidRDefault="005829C2">
      <w:pPr>
        <w:pStyle w:val="FORMATTEXT"/>
        <w:ind w:firstLine="568"/>
        <w:jc w:val="both"/>
      </w:pPr>
      <w:r>
        <w:t xml:space="preserve">2) определенное число результатов отдельных измерений рассматриваемого </w:t>
      </w:r>
      <w:r>
        <w:t>параметра (повторные измерения).</w:t>
      </w:r>
    </w:p>
    <w:p w:rsidR="00000000" w:rsidRDefault="005829C2">
      <w:pPr>
        <w:pStyle w:val="FORMATTEXT"/>
        <w:ind w:firstLine="568"/>
        <w:jc w:val="both"/>
      </w:pPr>
    </w:p>
    <w:p w:rsidR="00000000" w:rsidRDefault="005829C2">
      <w:pPr>
        <w:pStyle w:val="FORMATTEXT"/>
        <w:ind w:firstLine="568"/>
        <w:jc w:val="both"/>
      </w:pPr>
      <w:r>
        <w:t>Форма представления 1) позволяет провести основанную на неопределенности оценку (см. 10.7), предполагающую, что участвующие лаборатории имеют подходящие измерительные модели, тогда как форма представления 2) (более "класси</w:t>
      </w:r>
      <w:r>
        <w:t>ческая") требует статистической оценки, основанной на предположении относительно лежащей в основе функции распределения.</w:t>
      </w:r>
    </w:p>
    <w:p w:rsidR="00000000" w:rsidRDefault="005829C2">
      <w:pPr>
        <w:pStyle w:val="FORMATTEXT"/>
        <w:ind w:firstLine="568"/>
        <w:jc w:val="both"/>
      </w:pPr>
    </w:p>
    <w:p w:rsidR="00000000" w:rsidRDefault="005829C2">
      <w:pPr>
        <w:pStyle w:val="FORMATTEXT"/>
        <w:ind w:firstLine="568"/>
        <w:jc w:val="both"/>
      </w:pPr>
      <w:r>
        <w:t>Результаты, представляемые участвующими лабораториями, оценивают в соответствии с процедурой, изображенной на рисунке 7.</w:t>
      </w:r>
    </w:p>
    <w:p w:rsidR="00000000" w:rsidRDefault="005829C2">
      <w:pPr>
        <w:pStyle w:val="FORMATTEXT"/>
        <w:ind w:firstLine="568"/>
        <w:jc w:val="both"/>
      </w:pPr>
    </w:p>
    <w:p w:rsidR="00000000" w:rsidRDefault="005829C2">
      <w:pPr>
        <w:pStyle w:val="FORMATTEXT"/>
        <w:ind w:firstLine="568"/>
        <w:jc w:val="both"/>
      </w:pPr>
      <w:r>
        <w:t>Для удобства</w:t>
      </w:r>
      <w:r>
        <w:t xml:space="preserve"> обработки и будущих ссылок результаты совместных исследований этого типа должны систематически группироваться по сертифицируемой (аттестуемой) характеристике и оформляться в виде таблицы. Эта таблица должна включать идентификацию группы/лаборатории и мето</w:t>
      </w:r>
      <w:r>
        <w:t>да, отдельные результаты, лабораторное среднее и соответствующее стандартное отклонение. Но если участвующие лаборатории определяли значение характеристики для более чем одной единицы (экземпляра) СО, то рекомендуется представлять среднее внутри экземпляро</w:t>
      </w:r>
      <w:r>
        <w:t>в, среднее по совокупности и соответствующие стандартные отклонения в таблице отдельно от индивидуальных результатов. Если участвующая лаборатория представила более одного набора результатов для характеристики, полученной разными методами измерений, каждый</w:t>
      </w:r>
      <w:r>
        <w:t xml:space="preserve"> набор следует подвергать обработке отдельно, т.е. как от другой лаборатории.</w:t>
      </w:r>
    </w:p>
    <w:p w:rsidR="00000000" w:rsidRDefault="005829C2">
      <w:pPr>
        <w:pStyle w:val="FORMATTEXT"/>
        <w:ind w:firstLine="568"/>
        <w:jc w:val="both"/>
      </w:pPr>
    </w:p>
    <w:p w:rsidR="00000000" w:rsidRDefault="005829C2">
      <w:pPr>
        <w:pStyle w:val="FORMATTEXT"/>
        <w:ind w:firstLine="568"/>
        <w:jc w:val="both"/>
      </w:pPr>
      <w:r>
        <w:t>Также рекомендуется представлять результаты в графической форме.</w:t>
      </w:r>
    </w:p>
    <w:p w:rsidR="00000000" w:rsidRDefault="005829C2">
      <w:pPr>
        <w:pStyle w:val="FORMATTEXT"/>
        <w:ind w:firstLine="568"/>
        <w:jc w:val="both"/>
      </w:pPr>
    </w:p>
    <w:p w:rsidR="00000000" w:rsidRDefault="005829C2">
      <w:pPr>
        <w:pStyle w:val="FORMATTEXT"/>
        <w:ind w:firstLine="568"/>
        <w:jc w:val="both"/>
      </w:pPr>
      <w:r>
        <w:t>Можно использовать два способа представления результатов в зависимости от того, требуется ли представление неоп</w:t>
      </w:r>
      <w:r>
        <w:t>ределенностей результатов каждой лаборатории.</w:t>
      </w:r>
    </w:p>
    <w:p w:rsidR="00000000" w:rsidRDefault="005829C2">
      <w:pPr>
        <w:pStyle w:val="FORMATTEXT"/>
        <w:ind w:firstLine="568"/>
        <w:jc w:val="both"/>
      </w:pPr>
    </w:p>
    <w:p w:rsidR="00000000" w:rsidRDefault="005829C2">
      <w:pPr>
        <w:pStyle w:val="FORMATTEXT"/>
        <w:ind w:firstLine="568"/>
        <w:jc w:val="both"/>
      </w:pPr>
      <w:r>
        <w:t>Если от участвующих групп/лабораторий требуется представление неопределенностей их измерений, тогда, в принципе, достаточно указания результата измерений, его расширенной неопределенности и коэффициента охвата</w:t>
      </w:r>
      <w:r>
        <w:t>. Однако предпочтительно, чтобы каждая лаборатория указывала полную модель неопределенности со всеми неопределенностями, что упростило бы оценку любых ковариаций [34], [38] между результатами.</w:t>
      </w:r>
    </w:p>
    <w:p w:rsidR="00000000" w:rsidRDefault="005829C2">
      <w:pPr>
        <w:pStyle w:val="FORMATTEXT"/>
        <w:ind w:firstLine="568"/>
        <w:jc w:val="both"/>
      </w:pPr>
    </w:p>
    <w:p w:rsidR="00000000" w:rsidRDefault="005829C2">
      <w:pPr>
        <w:pStyle w:val="FORMATTEXT"/>
        <w:ind w:firstLine="568"/>
        <w:jc w:val="both"/>
      </w:pPr>
      <w:r>
        <w:t>Если не требуется информация о неопределенности, тогда участву</w:t>
      </w:r>
      <w:r>
        <w:t>ющие группы/лаборатории должны представлять отдельные результаты (не средние). Число представленных значащих цифр должно соответствовать требованиям программы.</w:t>
      </w:r>
    </w:p>
    <w:p w:rsidR="00000000" w:rsidRDefault="005829C2">
      <w:pPr>
        <w:pStyle w:val="FORMATTEXT"/>
        <w:ind w:firstLine="568"/>
        <w:jc w:val="both"/>
      </w:pPr>
    </w:p>
    <w:p w:rsidR="00000000" w:rsidRDefault="005829C2">
      <w:pPr>
        <w:pStyle w:val="FORMATTEXT"/>
        <w:ind w:firstLine="568"/>
        <w:jc w:val="both"/>
      </w:pPr>
      <w:r>
        <w:t>В обоих случаях рекомендуется, чтобы схема применяемой измерительной процедуры была представлен</w:t>
      </w:r>
      <w:r>
        <w:t xml:space="preserve">а достаточно подробно для понимания всех предварительных этапов измерительного процесса (например, в химическом анализе этапов разложения пробы и </w:t>
      </w:r>
      <w:proofErr w:type="gramStart"/>
      <w:r>
        <w:t>разделения</w:t>
      </w:r>
      <w:proofErr w:type="gramEnd"/>
      <w:r>
        <w:t xml:space="preserve"> представляющих интерес </w:t>
      </w:r>
      <w:proofErr w:type="spellStart"/>
      <w:r>
        <w:t>аналитов</w:t>
      </w:r>
      <w:proofErr w:type="spellEnd"/>
      <w:r>
        <w:t>). Следует включать ссылки на литературу (когда это целесообразно).</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10.3 Распределения </w:t>
      </w:r>
    </w:p>
    <w:p w:rsidR="00000000" w:rsidRDefault="005829C2">
      <w:pPr>
        <w:pStyle w:val="FORMATTEXT"/>
        <w:ind w:firstLine="568"/>
        <w:jc w:val="both"/>
      </w:pPr>
      <w:r>
        <w:t>Нахождение подходящего алгоритма оценки ожидания случайной переменной тесно связано с лежащим в основе распределением (предполагаемым или установленным), выраженным в большинстве случаев как плотность распределения вероятностей.</w:t>
      </w:r>
      <w:r>
        <w:t xml:space="preserve"> Во многих случаях распределение можно наблюдать графически, построив гистограмму. Если допущения не были сделаны, оценка данных по конкретному числу измеренных значений при условии наличия статистически значимого числа измеренных значений может быть полно</w:t>
      </w:r>
      <w:r>
        <w:t>стью основана:</w:t>
      </w:r>
    </w:p>
    <w:p w:rsidR="00000000" w:rsidRDefault="005829C2">
      <w:pPr>
        <w:pStyle w:val="FORMATTEXT"/>
        <w:ind w:firstLine="568"/>
        <w:jc w:val="both"/>
      </w:pPr>
    </w:p>
    <w:p w:rsidR="00000000" w:rsidRDefault="00862BD0">
      <w:pPr>
        <w:pStyle w:val="TOPLEVELTEXT"/>
        <w:jc w:val="center"/>
      </w:pPr>
      <w:r>
        <w:rPr>
          <w:noProof/>
          <w:position w:val="-295"/>
        </w:rPr>
        <w:lastRenderedPageBreak/>
        <w:drawing>
          <wp:inline distT="0" distB="0" distL="0" distR="0">
            <wp:extent cx="5353050" cy="7515225"/>
            <wp:effectExtent l="0" t="0" r="0" b="9525"/>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353050" cy="7515225"/>
                    </a:xfrm>
                    <a:prstGeom prst="rect">
                      <a:avLst/>
                    </a:prstGeom>
                    <a:noFill/>
                    <a:ln>
                      <a:noFill/>
                    </a:ln>
                  </pic:spPr>
                </pic:pic>
              </a:graphicData>
            </a:graphic>
          </wp:inline>
        </w:drawing>
      </w:r>
    </w:p>
    <w:p w:rsidR="00000000" w:rsidRDefault="005829C2">
      <w:pPr>
        <w:pStyle w:val="FORMATTEXT"/>
        <w:jc w:val="center"/>
      </w:pPr>
    </w:p>
    <w:p w:rsidR="00000000" w:rsidRDefault="005829C2">
      <w:pPr>
        <w:pStyle w:val="FORMATTEXT"/>
        <w:jc w:val="center"/>
      </w:pPr>
      <w:r>
        <w:t xml:space="preserve">Рисунок 7 - Обработка данных </w:t>
      </w:r>
    </w:p>
    <w:p w:rsidR="00000000" w:rsidRDefault="005829C2">
      <w:pPr>
        <w:pStyle w:val="FORMATTEXT"/>
        <w:ind w:firstLine="568"/>
        <w:jc w:val="both"/>
      </w:pPr>
      <w:r>
        <w:t xml:space="preserve">- на исследовании их распределений с использованием подходящих процедур оценки (например, оценки </w:t>
      </w:r>
      <w:proofErr w:type="spellStart"/>
      <w:r>
        <w:t>Кернеля</w:t>
      </w:r>
      <w:proofErr w:type="spellEnd"/>
      <w:r>
        <w:t>) или</w:t>
      </w:r>
    </w:p>
    <w:p w:rsidR="00000000" w:rsidRDefault="005829C2">
      <w:pPr>
        <w:pStyle w:val="FORMATTEXT"/>
        <w:ind w:firstLine="568"/>
        <w:jc w:val="both"/>
      </w:pPr>
    </w:p>
    <w:p w:rsidR="00000000" w:rsidRDefault="005829C2">
      <w:pPr>
        <w:pStyle w:val="FORMATTEXT"/>
        <w:ind w:firstLine="568"/>
        <w:jc w:val="both"/>
      </w:pPr>
      <w:r>
        <w:t>- расчете подходящих алгоритмов оценки, следуя принципам, изло</w:t>
      </w:r>
      <w:r>
        <w:t>женным в ИСО 3534 (расчет моментов).</w:t>
      </w:r>
    </w:p>
    <w:p w:rsidR="00000000" w:rsidRDefault="005829C2">
      <w:pPr>
        <w:pStyle w:val="FORMATTEXT"/>
        <w:ind w:firstLine="568"/>
        <w:jc w:val="both"/>
      </w:pPr>
    </w:p>
    <w:p w:rsidR="00000000" w:rsidRDefault="005829C2">
      <w:pPr>
        <w:pStyle w:val="FORMATTEXT"/>
        <w:ind w:firstLine="568"/>
        <w:jc w:val="both"/>
      </w:pPr>
      <w:r>
        <w:t>Другие распределения, обычно используемые для количественного определения вкладов неопределенности, также симметричные, как, например, прямоугольное или треугольное распределение (см. также GUM).</w:t>
      </w:r>
    </w:p>
    <w:p w:rsidR="00000000" w:rsidRDefault="005829C2">
      <w:pPr>
        <w:pStyle w:val="FORMATTEXT"/>
        <w:ind w:firstLine="568"/>
        <w:jc w:val="both"/>
      </w:pPr>
    </w:p>
    <w:p w:rsidR="00000000" w:rsidRDefault="005829C2">
      <w:pPr>
        <w:pStyle w:val="FORMATTEXT"/>
        <w:ind w:firstLine="568"/>
        <w:jc w:val="both"/>
      </w:pPr>
      <w:r>
        <w:t>Подходы, данные в 10.</w:t>
      </w:r>
      <w:r>
        <w:t xml:space="preserve">5 и 10.6, всегда относятся к нормальному распределению данных (за </w:t>
      </w:r>
      <w:r>
        <w:lastRenderedPageBreak/>
        <w:t xml:space="preserve">исключением случаев, касающихся оценки вкладов неопределенности по типу В), по этой причине могут быть необходимы испытания </w:t>
      </w:r>
      <w:proofErr w:type="gramStart"/>
      <w:r>
        <w:t>имеющихся наборов</w:t>
      </w:r>
      <w:proofErr w:type="gramEnd"/>
      <w:r>
        <w:t xml:space="preserve"> данных на нормальность для обоснования выбранног</w:t>
      </w:r>
      <w:r>
        <w:t>о подхода.</w:t>
      </w:r>
    </w:p>
    <w:p w:rsidR="00000000" w:rsidRDefault="005829C2">
      <w:pPr>
        <w:pStyle w:val="FORMATTEXT"/>
        <w:ind w:firstLine="568"/>
        <w:jc w:val="both"/>
      </w:pPr>
    </w:p>
    <w:p w:rsidR="00000000" w:rsidRDefault="005829C2">
      <w:pPr>
        <w:pStyle w:val="FORMATTEXT"/>
        <w:ind w:firstLine="568"/>
        <w:jc w:val="both"/>
      </w:pPr>
      <w:r>
        <w:t>Если большинство результатов образуют две или более групп, то можно сделать вывод об отсутствии согласованности результатов методов/лабораторий. Необходимо рассмотреть следующие возможности:</w:t>
      </w:r>
    </w:p>
    <w:p w:rsidR="00000000" w:rsidRDefault="005829C2">
      <w:pPr>
        <w:pStyle w:val="FORMATTEXT"/>
        <w:ind w:firstLine="568"/>
        <w:jc w:val="both"/>
      </w:pPr>
    </w:p>
    <w:p w:rsidR="00000000" w:rsidRDefault="005829C2">
      <w:pPr>
        <w:pStyle w:val="FORMATTEXT"/>
        <w:ind w:firstLine="568"/>
        <w:jc w:val="both"/>
      </w:pPr>
      <w:r>
        <w:t>a) если между этими группами и измерительными процед</w:t>
      </w:r>
      <w:r>
        <w:t>урами присутствует корреляция и если расхождение между средними этих групп статистически и физически значимо, тогда единое значение параметра отсутствует; в этом случае для решения проблемы необходимо улучшение измерительных процедур;</w:t>
      </w:r>
    </w:p>
    <w:p w:rsidR="00000000" w:rsidRDefault="005829C2">
      <w:pPr>
        <w:pStyle w:val="FORMATTEXT"/>
        <w:ind w:firstLine="568"/>
        <w:jc w:val="both"/>
      </w:pPr>
    </w:p>
    <w:p w:rsidR="00000000" w:rsidRDefault="005829C2">
      <w:pPr>
        <w:pStyle w:val="FORMATTEXT"/>
        <w:ind w:firstLine="568"/>
        <w:jc w:val="both"/>
      </w:pPr>
      <w:r>
        <w:t xml:space="preserve">b) если между этими </w:t>
      </w:r>
      <w:r>
        <w:t xml:space="preserve">группами и измерительными процедурами корреляция отсутствует и если расхождение между этими группами статистически и физически значимо, то может потребоваться более широкое объединение результатов для улучшения относительно неэффективных имеющихся методов </w:t>
      </w:r>
      <w:r>
        <w:t>измерений.</w:t>
      </w:r>
    </w:p>
    <w:p w:rsidR="00000000" w:rsidRDefault="005829C2">
      <w:pPr>
        <w:pStyle w:val="FORMATTEXT"/>
        <w:ind w:firstLine="568"/>
        <w:jc w:val="both"/>
      </w:pPr>
    </w:p>
    <w:p w:rsidR="00000000" w:rsidRDefault="005829C2">
      <w:pPr>
        <w:pStyle w:val="FORMATTEXT"/>
        <w:ind w:firstLine="568"/>
        <w:jc w:val="both"/>
      </w:pPr>
      <w:r>
        <w:t>Незначительные расхождения между результатами от разных методов могут быть устранены путем введения дополнительной составляющей неопределенности, учитывающей этот аспект. О целесообразности этого подхода можно судить только после определения ве</w:t>
      </w:r>
      <w:r>
        <w:t>личины составляющей неопределенности и подтверждения соответствия полученной таким образом суммарной стандартной неопределенности, связанной со значением параметра, критериям, установленным для сертификации (аттестации). Существует несколько подходов к про</w:t>
      </w:r>
      <w:r>
        <w:t>блеме этой оценки. Полезное обсуждение предложено в [43].</w:t>
      </w:r>
    </w:p>
    <w:p w:rsidR="00000000" w:rsidRDefault="005829C2">
      <w:pPr>
        <w:pStyle w:val="FORMATTEXT"/>
        <w:ind w:firstLine="568"/>
        <w:jc w:val="both"/>
      </w:pPr>
    </w:p>
    <w:p w:rsidR="00000000" w:rsidRDefault="005829C2">
      <w:pPr>
        <w:pStyle w:val="FORMATTEXT"/>
        <w:ind w:firstLine="568"/>
        <w:jc w:val="both"/>
      </w:pPr>
      <w:r>
        <w:t xml:space="preserve">Если большинство результатов образуют единую группу, можно сделать вывод об одновершинном (унимодальном) распределении. </w:t>
      </w:r>
      <w:proofErr w:type="gramStart"/>
      <w:r>
        <w:t>Наиболее очевидной оценкой</w:t>
      </w:r>
      <w:proofErr w:type="gramEnd"/>
      <w:r>
        <w:t xml:space="preserve"> сертифицируемой (аттестуемой) характеристики являе</w:t>
      </w:r>
      <w:r>
        <w:t>тся среднее значение результатов.</w:t>
      </w:r>
    </w:p>
    <w:p w:rsidR="00000000" w:rsidRDefault="005829C2">
      <w:pPr>
        <w:pStyle w:val="FORMATTEXT"/>
        <w:ind w:firstLine="568"/>
        <w:jc w:val="both"/>
      </w:pPr>
    </w:p>
    <w:p w:rsidR="00000000" w:rsidRDefault="005829C2">
      <w:pPr>
        <w:pStyle w:val="FORMATTEXT"/>
        <w:ind w:firstLine="568"/>
        <w:jc w:val="both"/>
      </w:pPr>
      <w:r>
        <w:t>При одновершинном (унимодальном) распределении следует принять решение об обоснованности допущения о нормальности. Это решение может быть основано на визуальном наблюдении гистограммы, на критерии нормальности либо на про</w:t>
      </w:r>
      <w:r>
        <w:t>шлом опыте рассмотрения вида распределения результатов.</w:t>
      </w:r>
    </w:p>
    <w:p w:rsidR="00000000" w:rsidRDefault="005829C2">
      <w:pPr>
        <w:pStyle w:val="FORMATTEXT"/>
        <w:ind w:firstLine="568"/>
        <w:jc w:val="both"/>
      </w:pPr>
    </w:p>
    <w:p w:rsidR="00000000" w:rsidRDefault="005829C2">
      <w:pPr>
        <w:pStyle w:val="FORMATTEXT"/>
        <w:ind w:firstLine="568"/>
        <w:jc w:val="both"/>
      </w:pPr>
      <w:r>
        <w:t>В некоторых случаях результаты могут быть преобразованы, для того чтобы их распределение можно было аппроксимировать нормальным распределением. Некоторые наиболее часто применяемые преобразования вкл</w:t>
      </w:r>
      <w:r>
        <w:t>ючают логарифмическую, квадратичную и экспоненциальную формы.</w:t>
      </w:r>
    </w:p>
    <w:p w:rsidR="00000000" w:rsidRDefault="005829C2">
      <w:pPr>
        <w:pStyle w:val="FORMATTEXT"/>
        <w:ind w:firstLine="568"/>
        <w:jc w:val="both"/>
      </w:pPr>
    </w:p>
    <w:p w:rsidR="00000000" w:rsidRDefault="005829C2">
      <w:pPr>
        <w:pStyle w:val="FORMATTEXT"/>
        <w:ind w:firstLine="568"/>
        <w:jc w:val="both"/>
      </w:pPr>
      <w:r>
        <w:t>Следует отметить, что для оценки значений параметров и их неопределенностей допущение о функции распределения менее критично, чем для исследования на наличие выбросов. Но в связи с тем, что бол</w:t>
      </w:r>
      <w:r>
        <w:t>ьшинство описательных статистик основано на нормальном распределении, рекомендуется проверить согласованность распределения данных с нормальным распределением или возможность преобразования, позволяющего использовать статистические методы, допускающие норм</w:t>
      </w:r>
      <w:r>
        <w:t>альное распределение данных.</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10.4 Отбраковка данных </w:t>
      </w:r>
    </w:p>
    <w:p w:rsidR="00000000" w:rsidRDefault="005829C2">
      <w:pPr>
        <w:pStyle w:val="FORMATTEXT"/>
        <w:ind w:firstLine="568"/>
        <w:jc w:val="both"/>
      </w:pPr>
      <w:r>
        <w:t>Независимо от формы представления наборы данных следует проверять визуально и графически перед применением любой из процедур, описанных в 10.5 и 10.6. Любая выявленная аномалия должна быть исслед</w:t>
      </w:r>
      <w:r>
        <w:t>ована на возможные тривиальные (ошибка при передаче, опечатка и т.д.) и нетривиальные (сбой оборудования и т.д.) причины. При подтверждении ошибок и сбоев, соответствующие результаты должны быть отвергнуты.</w:t>
      </w:r>
    </w:p>
    <w:p w:rsidR="00000000" w:rsidRDefault="005829C2">
      <w:pPr>
        <w:pStyle w:val="FORMATTEXT"/>
        <w:ind w:firstLine="568"/>
        <w:jc w:val="both"/>
      </w:pPr>
    </w:p>
    <w:p w:rsidR="00000000" w:rsidRDefault="005829C2">
      <w:pPr>
        <w:pStyle w:val="FORMATTEXT"/>
        <w:ind w:firstLine="568"/>
        <w:jc w:val="both"/>
      </w:pPr>
      <w:r>
        <w:t xml:space="preserve">Кроме того, результаты должны быть проверены на </w:t>
      </w:r>
      <w:r>
        <w:t xml:space="preserve">наличие технически недопустимых результатов. Технически недопустимые результаты обнаруживают, внимательно изучая отчеты об измерениях. Технически недопустимый результат необязательно является статистически недопустимым результатом. Анализируемый результат </w:t>
      </w:r>
      <w:r>
        <w:t>может хорошо входить в диапазон узаконенных результатов, но очевидно, что условия, при которых получен результат, не в хорошем состоянии. Технически недопустимые результаты должны быть удалены из выборки данных.</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10.5 Оценивание данных </w:t>
      </w:r>
    </w:p>
    <w:p w:rsidR="00000000" w:rsidRDefault="005829C2">
      <w:pPr>
        <w:pStyle w:val="FORMATTEXT"/>
        <w:ind w:firstLine="568"/>
        <w:jc w:val="both"/>
      </w:pPr>
      <w:r>
        <w:rPr>
          <w:b/>
          <w:bCs/>
        </w:rPr>
        <w:lastRenderedPageBreak/>
        <w:t>10.5.1 Подхо</w:t>
      </w:r>
      <w:r>
        <w:rPr>
          <w:b/>
          <w:bCs/>
        </w:rPr>
        <w:t>д А: один метод в одной лаборатории</w:t>
      </w:r>
    </w:p>
    <w:p w:rsidR="00000000" w:rsidRDefault="005829C2">
      <w:pPr>
        <w:pStyle w:val="FORMATTEXT"/>
        <w:ind w:firstLine="568"/>
        <w:jc w:val="both"/>
      </w:pPr>
    </w:p>
    <w:p w:rsidR="00000000" w:rsidRDefault="005829C2">
      <w:pPr>
        <w:pStyle w:val="FORMATTEXT"/>
        <w:ind w:firstLine="568"/>
        <w:jc w:val="both"/>
      </w:pPr>
      <w:r>
        <w:t xml:space="preserve">В тех случаях, когда единичное значение получено от (первичного) метода измерений с приложением указания неопределенности, тогда это значение с соответствующей неопределенностью является результатом </w:t>
      </w:r>
      <w:proofErr w:type="spellStart"/>
      <w:r>
        <w:t>характеризации</w:t>
      </w:r>
      <w:proofErr w:type="spellEnd"/>
      <w:r>
        <w:t xml:space="preserve"> СО. П</w:t>
      </w:r>
      <w:r>
        <w:t xml:space="preserve">ри наличии серии значений обычно среднее такой серии значений является результатом </w:t>
      </w:r>
      <w:proofErr w:type="spellStart"/>
      <w:r>
        <w:t>характеризации</w:t>
      </w:r>
      <w:proofErr w:type="spellEnd"/>
      <w:r>
        <w:t xml:space="preserve"> СО. Тогда неопределенность, как правило, основана на оценке неопределенности метода измерений, обеспечивающего сертифицированное (аттестованное) значение, и д</w:t>
      </w:r>
      <w:r>
        <w:t>олжна сравниваться со стандартным отклонением серии значений. Стандартное отклонение среднего и полный бюджет неопределенности, установленный для метода измерений, должны быть согласованы между собой.</w:t>
      </w:r>
    </w:p>
    <w:p w:rsidR="00000000" w:rsidRDefault="005829C2">
      <w:pPr>
        <w:pStyle w:val="FORMATTEXT"/>
        <w:ind w:firstLine="568"/>
        <w:jc w:val="both"/>
      </w:pPr>
    </w:p>
    <w:p w:rsidR="00000000" w:rsidRDefault="005829C2">
      <w:pPr>
        <w:pStyle w:val="FORMATTEXT"/>
        <w:ind w:firstLine="568"/>
        <w:jc w:val="both"/>
      </w:pPr>
      <w:r>
        <w:rPr>
          <w:b/>
          <w:bCs/>
        </w:rPr>
        <w:t>10.5.2 Подход В: группа методов и/или лабораторий</w:t>
      </w:r>
    </w:p>
    <w:p w:rsidR="00000000" w:rsidRDefault="005829C2">
      <w:pPr>
        <w:pStyle w:val="FORMATTEXT"/>
        <w:ind w:firstLine="568"/>
        <w:jc w:val="both"/>
      </w:pPr>
    </w:p>
    <w:p w:rsidR="00000000" w:rsidRDefault="005829C2">
      <w:pPr>
        <w:pStyle w:val="FORMATTEXT"/>
        <w:ind w:firstLine="568"/>
        <w:jc w:val="both"/>
      </w:pPr>
      <w:r>
        <w:t>Дан</w:t>
      </w:r>
      <w:r>
        <w:t>ные могут представляться в виде:</w:t>
      </w:r>
    </w:p>
    <w:p w:rsidR="00000000" w:rsidRDefault="005829C2">
      <w:pPr>
        <w:pStyle w:val="FORMATTEXT"/>
        <w:ind w:firstLine="568"/>
        <w:jc w:val="both"/>
      </w:pPr>
    </w:p>
    <w:p w:rsidR="00000000" w:rsidRDefault="005829C2">
      <w:pPr>
        <w:pStyle w:val="FORMATTEXT"/>
        <w:ind w:firstLine="568"/>
        <w:jc w:val="both"/>
      </w:pPr>
      <w:r>
        <w:t>- серии значений, каждое из которых сопровождается указанием неопределенности, или</w:t>
      </w:r>
    </w:p>
    <w:p w:rsidR="00000000" w:rsidRDefault="005829C2">
      <w:pPr>
        <w:pStyle w:val="FORMATTEXT"/>
        <w:ind w:firstLine="568"/>
        <w:jc w:val="both"/>
      </w:pPr>
    </w:p>
    <w:p w:rsidR="00000000" w:rsidRDefault="005829C2">
      <w:pPr>
        <w:pStyle w:val="FORMATTEXT"/>
        <w:ind w:firstLine="568"/>
        <w:jc w:val="both"/>
      </w:pPr>
      <w:r>
        <w:t>- серии наблюдений каждой лаборатории.</w:t>
      </w:r>
    </w:p>
    <w:p w:rsidR="00000000" w:rsidRDefault="005829C2">
      <w:pPr>
        <w:pStyle w:val="FORMATTEXT"/>
        <w:ind w:firstLine="568"/>
        <w:jc w:val="both"/>
      </w:pPr>
    </w:p>
    <w:p w:rsidR="00000000" w:rsidRDefault="005829C2">
      <w:pPr>
        <w:pStyle w:val="FORMATTEXT"/>
        <w:ind w:firstLine="568"/>
        <w:jc w:val="both"/>
      </w:pPr>
      <w:r>
        <w:t>В первой ситуации установления неопределенностей должны как часть отбраковки данных проходить пров</w:t>
      </w:r>
      <w:r>
        <w:t>ерку достоверности, например, с использованием описания метода измерений. Тогда эти данные могут проходить обработку, как описано в 10.7.</w:t>
      </w:r>
    </w:p>
    <w:p w:rsidR="00000000" w:rsidRDefault="005829C2">
      <w:pPr>
        <w:pStyle w:val="FORMATTEXT"/>
        <w:ind w:firstLine="568"/>
        <w:jc w:val="both"/>
      </w:pPr>
    </w:p>
    <w:p w:rsidR="00000000" w:rsidRDefault="005829C2">
      <w:pPr>
        <w:pStyle w:val="FORMATTEXT"/>
        <w:ind w:firstLine="568"/>
        <w:jc w:val="both"/>
      </w:pPr>
      <w:r>
        <w:t>Если имеется только серия наблюдений, данные могут обрабатываться, как описано в приложении А и в [11], [12]. Эта про</w:t>
      </w:r>
      <w:r>
        <w:t>цедура может включать:</w:t>
      </w:r>
    </w:p>
    <w:p w:rsidR="00000000" w:rsidRDefault="005829C2">
      <w:pPr>
        <w:pStyle w:val="FORMATTEXT"/>
        <w:ind w:firstLine="568"/>
        <w:jc w:val="both"/>
      </w:pPr>
    </w:p>
    <w:p w:rsidR="00000000" w:rsidRDefault="005829C2">
      <w:pPr>
        <w:pStyle w:val="FORMATTEXT"/>
        <w:ind w:firstLine="568"/>
        <w:jc w:val="both"/>
      </w:pPr>
      <w:r>
        <w:t>a) тестирование на значимые расхождения между лабораторными средними как основа для принятия решения о том, следует ли рассчитывать среднее отдельных значений или среднее лабораторных средних;</w:t>
      </w:r>
    </w:p>
    <w:p w:rsidR="00000000" w:rsidRDefault="005829C2">
      <w:pPr>
        <w:pStyle w:val="FORMATTEXT"/>
        <w:ind w:firstLine="568"/>
        <w:jc w:val="both"/>
      </w:pPr>
    </w:p>
    <w:p w:rsidR="00000000" w:rsidRDefault="005829C2">
      <w:pPr>
        <w:pStyle w:val="FORMATTEXT"/>
        <w:ind w:firstLine="568"/>
        <w:jc w:val="both"/>
      </w:pPr>
      <w:r>
        <w:t>b) тестирование на нормальность и выбр</w:t>
      </w:r>
      <w:r>
        <w:t xml:space="preserve">осы в выборке данных, выбранных в соответствии с решением, принятым </w:t>
      </w:r>
      <w:proofErr w:type="gramStart"/>
      <w:r>
        <w:t>в</w:t>
      </w:r>
      <w:proofErr w:type="gramEnd"/>
      <w:r>
        <w:t xml:space="preserve"> а). Выбросы можно обрабатывать, как описано в 10.5.5;</w:t>
      </w:r>
    </w:p>
    <w:p w:rsidR="00000000" w:rsidRDefault="005829C2">
      <w:pPr>
        <w:pStyle w:val="FORMATTEXT"/>
        <w:ind w:firstLine="568"/>
        <w:jc w:val="both"/>
      </w:pPr>
    </w:p>
    <w:p w:rsidR="00000000" w:rsidRDefault="005829C2">
      <w:pPr>
        <w:pStyle w:val="FORMATTEXT"/>
        <w:ind w:firstLine="568"/>
        <w:jc w:val="both"/>
      </w:pPr>
      <w:r>
        <w:t>c) тестирование на резко отклоняющиеся лабораторные дисперсии в полной выборке данных (при необходимости, когда присутствует аномал</w:t>
      </w:r>
      <w:r>
        <w:t>ьная дисперсия).</w:t>
      </w:r>
    </w:p>
    <w:p w:rsidR="00000000" w:rsidRDefault="005829C2">
      <w:pPr>
        <w:pStyle w:val="FORMATTEXT"/>
        <w:ind w:firstLine="568"/>
        <w:jc w:val="both"/>
      </w:pPr>
    </w:p>
    <w:p w:rsidR="00000000" w:rsidRDefault="005829C2">
      <w:pPr>
        <w:pStyle w:val="FORMATTEXT"/>
        <w:ind w:firstLine="568"/>
        <w:jc w:val="both"/>
      </w:pPr>
      <w:r>
        <w:t xml:space="preserve">Если выборка данных приблизительно нормально распределена, тогда среднее, выбранное </w:t>
      </w:r>
      <w:proofErr w:type="gramStart"/>
      <w:r>
        <w:t>в</w:t>
      </w:r>
      <w:proofErr w:type="gramEnd"/>
      <w:r>
        <w:t xml:space="preserve"> а), можно рассматривать по умолчанию как выбранное значение, полученное в результате </w:t>
      </w:r>
      <w:proofErr w:type="spellStart"/>
      <w:r>
        <w:t>характеризации</w:t>
      </w:r>
      <w:proofErr w:type="spellEnd"/>
      <w:r>
        <w:t>. Если сертифицируемая (аттестуемая) характеристика я</w:t>
      </w:r>
      <w:r>
        <w:t>вляется только средним средних значений, т.е.:</w:t>
      </w:r>
    </w:p>
    <w:p w:rsidR="00000000" w:rsidRDefault="005829C2">
      <w:pPr>
        <w:pStyle w:val="FORMATTEXT"/>
        <w:ind w:firstLine="568"/>
        <w:jc w:val="both"/>
      </w:pPr>
    </w:p>
    <w:p w:rsidR="00000000" w:rsidRDefault="00862BD0">
      <w:pPr>
        <w:pStyle w:val="FORMATTEXT"/>
        <w:jc w:val="right"/>
      </w:pPr>
      <w:r>
        <w:rPr>
          <w:noProof/>
          <w:position w:val="-18"/>
        </w:rPr>
        <w:drawing>
          <wp:inline distT="0" distB="0" distL="0" distR="0">
            <wp:extent cx="723900" cy="447675"/>
            <wp:effectExtent l="0" t="0" r="0" b="9525"/>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723900" cy="447675"/>
                    </a:xfrm>
                    <a:prstGeom prst="rect">
                      <a:avLst/>
                    </a:prstGeom>
                    <a:noFill/>
                    <a:ln>
                      <a:noFill/>
                    </a:ln>
                  </pic:spPr>
                </pic:pic>
              </a:graphicData>
            </a:graphic>
          </wp:inline>
        </w:drawing>
      </w:r>
      <w:r w:rsidR="005829C2">
        <w:t xml:space="preserve">,                                                                             (23) </w:t>
      </w:r>
    </w:p>
    <w:p w:rsidR="00000000" w:rsidRDefault="005829C2">
      <w:pPr>
        <w:pStyle w:val="FORMATTEXT"/>
        <w:jc w:val="both"/>
      </w:pPr>
    </w:p>
    <w:p w:rsidR="00000000" w:rsidRDefault="005829C2">
      <w:pPr>
        <w:pStyle w:val="FORMATTEXT"/>
        <w:jc w:val="both"/>
      </w:pPr>
    </w:p>
    <w:p w:rsidR="00000000" w:rsidRDefault="005829C2">
      <w:pPr>
        <w:pStyle w:val="FORMATTEXT"/>
        <w:jc w:val="both"/>
      </w:pPr>
      <w:r>
        <w:t>тогда основой суммарного стандартного отклонения среднего средних значений является стандартное отклонение, полученное по формуле:</w:t>
      </w:r>
    </w:p>
    <w:p w:rsidR="00000000" w:rsidRDefault="00862BD0">
      <w:pPr>
        <w:pStyle w:val="FORMATTEXT"/>
        <w:jc w:val="right"/>
      </w:pPr>
      <w:r>
        <w:rPr>
          <w:noProof/>
          <w:position w:val="-18"/>
        </w:rPr>
        <w:drawing>
          <wp:inline distT="0" distB="0" distL="0" distR="0">
            <wp:extent cx="1343025" cy="447675"/>
            <wp:effectExtent l="0" t="0" r="9525" b="9525"/>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1343025" cy="447675"/>
                    </a:xfrm>
                    <a:prstGeom prst="rect">
                      <a:avLst/>
                    </a:prstGeom>
                    <a:noFill/>
                    <a:ln>
                      <a:noFill/>
                    </a:ln>
                  </pic:spPr>
                </pic:pic>
              </a:graphicData>
            </a:graphic>
          </wp:inline>
        </w:drawing>
      </w:r>
      <w:r w:rsidR="005829C2">
        <w:t xml:space="preserve">.                                                               (24) </w:t>
      </w:r>
    </w:p>
    <w:p w:rsidR="00000000" w:rsidRDefault="005829C2">
      <w:pPr>
        <w:pStyle w:val="FORMATTEXT"/>
        <w:ind w:firstLine="568"/>
        <w:jc w:val="both"/>
      </w:pPr>
      <w:r>
        <w:t>Суммарное стандартное отклонение тогда равно:</w:t>
      </w:r>
    </w:p>
    <w:p w:rsidR="00000000" w:rsidRDefault="005829C2">
      <w:pPr>
        <w:pStyle w:val="FORMATTEXT"/>
        <w:ind w:firstLine="568"/>
        <w:jc w:val="both"/>
      </w:pPr>
    </w:p>
    <w:p w:rsidR="00000000" w:rsidRDefault="00862BD0">
      <w:pPr>
        <w:pStyle w:val="FORMATTEXT"/>
        <w:jc w:val="right"/>
      </w:pPr>
      <w:r>
        <w:rPr>
          <w:noProof/>
          <w:position w:val="-18"/>
        </w:rPr>
        <w:drawing>
          <wp:inline distT="0" distB="0" distL="0" distR="0">
            <wp:extent cx="752475" cy="447675"/>
            <wp:effectExtent l="0" t="0" r="9525" b="9525"/>
            <wp:docPr id="168" name="Рисунок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752475" cy="447675"/>
                    </a:xfrm>
                    <a:prstGeom prst="rect">
                      <a:avLst/>
                    </a:prstGeom>
                    <a:noFill/>
                    <a:ln>
                      <a:noFill/>
                    </a:ln>
                  </pic:spPr>
                </pic:pic>
              </a:graphicData>
            </a:graphic>
          </wp:inline>
        </w:drawing>
      </w:r>
      <w:r w:rsidR="005829C2">
        <w:t xml:space="preserve">.                                                           (25) </w:t>
      </w:r>
    </w:p>
    <w:p w:rsidR="00000000" w:rsidRDefault="005829C2">
      <w:pPr>
        <w:pStyle w:val="FORMATTEXT"/>
        <w:ind w:firstLine="568"/>
        <w:jc w:val="both"/>
      </w:pPr>
      <w:r>
        <w:t xml:space="preserve">В этих формулах </w:t>
      </w:r>
      <w:r>
        <w:rPr>
          <w:i/>
          <w:iCs/>
        </w:rPr>
        <w:t>p</w:t>
      </w:r>
      <w:r>
        <w:t xml:space="preserve"> обозначает число лабораторий. Справедливость этого выражения в значительной степени зависит от независимости значений </w:t>
      </w:r>
      <w:r>
        <w:rPr>
          <w:i/>
          <w:iCs/>
        </w:rPr>
        <w:t>Y</w:t>
      </w:r>
      <w:r w:rsidR="00862BD0">
        <w:rPr>
          <w:noProof/>
          <w:position w:val="-10"/>
        </w:rPr>
        <w:drawing>
          <wp:inline distT="0" distB="0" distL="0" distR="0">
            <wp:extent cx="85725" cy="228600"/>
            <wp:effectExtent l="0" t="0" r="9525" b="0"/>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rPr>
          <w:i/>
          <w:iCs/>
        </w:rPr>
        <w:t>.</w:t>
      </w:r>
      <w:r>
        <w:t xml:space="preserve"> Поэтому следует проверить, до какой степени справедливо допущение о независимости результатов от методов/лабораторий. Эта проверка важна особенно для больших значений </w:t>
      </w:r>
      <w:r>
        <w:rPr>
          <w:i/>
          <w:iCs/>
        </w:rPr>
        <w:t>p</w:t>
      </w:r>
      <w:r>
        <w:t xml:space="preserve"> (см. также 10.6.2).</w:t>
      </w:r>
    </w:p>
    <w:p w:rsidR="00000000" w:rsidRDefault="005829C2">
      <w:pPr>
        <w:pStyle w:val="FORMATTEXT"/>
        <w:ind w:firstLine="568"/>
        <w:jc w:val="both"/>
      </w:pPr>
    </w:p>
    <w:p w:rsidR="00000000" w:rsidRDefault="005829C2">
      <w:pPr>
        <w:pStyle w:val="FORMATTEXT"/>
        <w:ind w:firstLine="568"/>
        <w:jc w:val="both"/>
      </w:pPr>
      <w:r>
        <w:rPr>
          <w:b/>
          <w:bCs/>
        </w:rPr>
        <w:t>10.5.3 Подход С: разные методы в одной лаборато</w:t>
      </w:r>
      <w:r>
        <w:rPr>
          <w:b/>
          <w:bCs/>
        </w:rPr>
        <w:t>рии</w:t>
      </w:r>
    </w:p>
    <w:p w:rsidR="00000000" w:rsidRDefault="005829C2">
      <w:pPr>
        <w:pStyle w:val="FORMATTEXT"/>
        <w:ind w:firstLine="568"/>
        <w:jc w:val="both"/>
      </w:pPr>
    </w:p>
    <w:p w:rsidR="00000000" w:rsidRDefault="005829C2">
      <w:pPr>
        <w:pStyle w:val="FORMATTEXT"/>
        <w:ind w:firstLine="568"/>
        <w:jc w:val="both"/>
      </w:pPr>
      <w:r>
        <w:lastRenderedPageBreak/>
        <w:t>Снова возможны две формы представления данных:</w:t>
      </w:r>
    </w:p>
    <w:p w:rsidR="00000000" w:rsidRDefault="005829C2">
      <w:pPr>
        <w:pStyle w:val="FORMATTEXT"/>
        <w:ind w:firstLine="568"/>
        <w:jc w:val="both"/>
      </w:pPr>
    </w:p>
    <w:p w:rsidR="00000000" w:rsidRDefault="005829C2">
      <w:pPr>
        <w:pStyle w:val="FORMATTEXT"/>
        <w:ind w:firstLine="568"/>
        <w:jc w:val="both"/>
      </w:pPr>
      <w:r>
        <w:t>1) серия значений, каждое из которых сопровождается утверждением неопределенности, или</w:t>
      </w:r>
    </w:p>
    <w:p w:rsidR="00000000" w:rsidRDefault="005829C2">
      <w:pPr>
        <w:pStyle w:val="FORMATTEXT"/>
        <w:ind w:firstLine="568"/>
        <w:jc w:val="both"/>
      </w:pPr>
    </w:p>
    <w:p w:rsidR="00000000" w:rsidRDefault="005829C2">
      <w:pPr>
        <w:pStyle w:val="FORMATTEXT"/>
        <w:ind w:firstLine="568"/>
        <w:jc w:val="both"/>
      </w:pPr>
      <w:r>
        <w:t>2) серия наблюдений каждой лаборатории.</w:t>
      </w:r>
    </w:p>
    <w:p w:rsidR="00000000" w:rsidRDefault="005829C2">
      <w:pPr>
        <w:pStyle w:val="FORMATTEXT"/>
        <w:ind w:firstLine="568"/>
        <w:jc w:val="both"/>
      </w:pPr>
    </w:p>
    <w:p w:rsidR="00000000" w:rsidRDefault="005829C2">
      <w:pPr>
        <w:pStyle w:val="FORMATTEXT"/>
        <w:ind w:firstLine="568"/>
        <w:jc w:val="both"/>
      </w:pPr>
      <w:r>
        <w:t>В первой форме каждое значение и сопровождающее его утверждение неопределе</w:t>
      </w:r>
      <w:r>
        <w:t xml:space="preserve">нности исследуются, как описано в 10.5.1, для каждого из методов, использованных при </w:t>
      </w:r>
      <w:proofErr w:type="spellStart"/>
      <w:r>
        <w:t>характеризации</w:t>
      </w:r>
      <w:proofErr w:type="spellEnd"/>
      <w:r>
        <w:t>. Тогда можно применить подход, описанный в 10.7.</w:t>
      </w:r>
    </w:p>
    <w:p w:rsidR="00000000" w:rsidRDefault="005829C2">
      <w:pPr>
        <w:pStyle w:val="FORMATTEXT"/>
        <w:ind w:firstLine="568"/>
        <w:jc w:val="both"/>
      </w:pPr>
    </w:p>
    <w:p w:rsidR="00000000" w:rsidRDefault="005829C2">
      <w:pPr>
        <w:pStyle w:val="FORMATTEXT"/>
        <w:ind w:firstLine="568"/>
        <w:jc w:val="both"/>
      </w:pPr>
      <w:r>
        <w:t>Подход, описанный в 10.5.2, можно использовать для второй формы. Как минимум для одного из методов необход</w:t>
      </w:r>
      <w:r>
        <w:t xml:space="preserve">имо иметь полный бюджет неопределенности с тем, чтобы можно было проверить оценку неопределенности и оценить смещение измерений. (Это не приводит к дополнительному требованию, так как все использованные методы измерений должны отвечать требованиям </w:t>
      </w:r>
      <w:proofErr w:type="spellStart"/>
      <w:r>
        <w:t>прослежи</w:t>
      </w:r>
      <w:r>
        <w:t>ваемости</w:t>
      </w:r>
      <w:proofErr w:type="spellEnd"/>
      <w:r>
        <w:t>, изложенным в 9.2)</w:t>
      </w:r>
    </w:p>
    <w:p w:rsidR="00000000" w:rsidRDefault="005829C2">
      <w:pPr>
        <w:pStyle w:val="FORMATTEXT"/>
        <w:ind w:firstLine="568"/>
        <w:jc w:val="both"/>
      </w:pPr>
    </w:p>
    <w:p w:rsidR="00000000" w:rsidRDefault="005829C2">
      <w:pPr>
        <w:pStyle w:val="FORMATTEXT"/>
        <w:ind w:firstLine="568"/>
        <w:jc w:val="both"/>
      </w:pPr>
      <w:r>
        <w:rPr>
          <w:b/>
          <w:bCs/>
        </w:rPr>
        <w:t>10.5.4 Подход D: параметры, определяемые методом</w:t>
      </w:r>
    </w:p>
    <w:p w:rsidR="00000000" w:rsidRDefault="005829C2">
      <w:pPr>
        <w:pStyle w:val="FORMATTEXT"/>
        <w:ind w:firstLine="568"/>
        <w:jc w:val="both"/>
      </w:pPr>
    </w:p>
    <w:p w:rsidR="00000000" w:rsidRDefault="005829C2">
      <w:pPr>
        <w:pStyle w:val="FORMATTEXT"/>
        <w:ind w:firstLine="568"/>
        <w:jc w:val="both"/>
      </w:pPr>
      <w:r>
        <w:t>Параметры, определяемые методом измерений, можно обрабатывать тем же способом, который описан в 10.5.2.</w:t>
      </w:r>
    </w:p>
    <w:p w:rsidR="00000000" w:rsidRDefault="005829C2">
      <w:pPr>
        <w:pStyle w:val="FORMATTEXT"/>
        <w:ind w:firstLine="568"/>
        <w:jc w:val="both"/>
      </w:pPr>
    </w:p>
    <w:p w:rsidR="00000000" w:rsidRDefault="005829C2">
      <w:pPr>
        <w:pStyle w:val="FORMATTEXT"/>
        <w:ind w:firstLine="568"/>
        <w:jc w:val="both"/>
      </w:pPr>
      <w:r>
        <w:rPr>
          <w:b/>
          <w:bCs/>
        </w:rPr>
        <w:t>10.5.5 Обработка резко отклоняющихся значений</w:t>
      </w:r>
    </w:p>
    <w:p w:rsidR="00000000" w:rsidRDefault="005829C2">
      <w:pPr>
        <w:pStyle w:val="FORMATTEXT"/>
        <w:ind w:firstLine="568"/>
        <w:jc w:val="both"/>
      </w:pPr>
    </w:p>
    <w:p w:rsidR="00000000" w:rsidRDefault="005829C2">
      <w:pPr>
        <w:pStyle w:val="FORMATTEXT"/>
        <w:ind w:firstLine="568"/>
        <w:jc w:val="both"/>
      </w:pPr>
      <w:r>
        <w:t>Отдельный результат или в</w:t>
      </w:r>
      <w:r>
        <w:t xml:space="preserve">ся выборка результатов считаются статистически недопустимыми результатами (выбросом), если отклонение его точности или </w:t>
      </w:r>
      <w:proofErr w:type="spellStart"/>
      <w:r>
        <w:t>прецизионности</w:t>
      </w:r>
      <w:proofErr w:type="spellEnd"/>
      <w:r>
        <w:t xml:space="preserve"> от других результатов в выборке или других выборках соответственно больше, чем можно объяснить статистическими колебаниями</w:t>
      </w:r>
      <w:r>
        <w:t>, относящимися к данной плотности распределения. Поэтому эффективность обнаружения выбросов зависит от обоснованности допущения о плотности распределения. Одинаково важно иметь достаточное число наблюдений и контекстную информацию об их проведении, для тог</w:t>
      </w:r>
      <w:r>
        <w:t>о чтобы делать правильные допущения относительно выбросов. Испытание на выбросы должно быть прерогативой статистика как в плане выбора обоснованных подходов на исследование выбросов, так и проведения анализа.</w:t>
      </w:r>
    </w:p>
    <w:p w:rsidR="00000000" w:rsidRDefault="005829C2">
      <w:pPr>
        <w:pStyle w:val="FORMATTEXT"/>
        <w:ind w:firstLine="568"/>
        <w:jc w:val="both"/>
      </w:pPr>
    </w:p>
    <w:p w:rsidR="00000000" w:rsidRDefault="005829C2">
      <w:pPr>
        <w:pStyle w:val="FORMATTEXT"/>
        <w:ind w:firstLine="568"/>
        <w:jc w:val="both"/>
      </w:pPr>
      <w:r>
        <w:t>Резко отклоняющиеся результаты могут иметь мес</w:t>
      </w:r>
      <w:r>
        <w:t>то на всех уровнях совместного исследования: можно оценить выбросы в отдельных наблюдениях, в подгруппах наблюдений (сгруппированных, например, по экземплярам) или в результатах всех методов/лабораторий. Выбросы должны быть удалены или в редких случаях (на</w:t>
      </w:r>
      <w:r>
        <w:t>пример, ошибка при расчетах) заменены исправленными результатами. По возможности выбросы следует удалять только на основе результатов нескольких испытаний на их присутствие. Выбросы в дисперсиях следует удалять только в крайних случаях, т.е. если они проти</w:t>
      </w:r>
      <w:r>
        <w:t>воречат выборке данных. Дополнительные измерения обычно неприемлемы, так как условия, при которых получены данные, уже не одни и те же для всех результатов.</w:t>
      </w:r>
    </w:p>
    <w:p w:rsidR="00000000" w:rsidRDefault="005829C2">
      <w:pPr>
        <w:pStyle w:val="FORMATTEXT"/>
        <w:ind w:firstLine="568"/>
        <w:jc w:val="both"/>
      </w:pPr>
    </w:p>
    <w:p w:rsidR="00000000" w:rsidRDefault="005829C2">
      <w:pPr>
        <w:pStyle w:val="FORMATTEXT"/>
        <w:ind w:firstLine="568"/>
        <w:jc w:val="both"/>
      </w:pPr>
      <w:r>
        <w:t xml:space="preserve">В заключение следует отметить, что часто проводится разграничение между </w:t>
      </w:r>
      <w:proofErr w:type="spellStart"/>
      <w:r>
        <w:t>квазивыбросами</w:t>
      </w:r>
      <w:proofErr w:type="spellEnd"/>
      <w:r>
        <w:t xml:space="preserve"> и выбросами</w:t>
      </w:r>
      <w:r>
        <w:t xml:space="preserve"> (см., например, ISO 5725-2 [2]). </w:t>
      </w:r>
      <w:proofErr w:type="spellStart"/>
      <w:r>
        <w:t>Квазивыбросы</w:t>
      </w:r>
      <w:proofErr w:type="spellEnd"/>
      <w:r>
        <w:t xml:space="preserve">, как правило, должны сохраняться в наборе данных тогда, как выбросы должны быть исключены. Это в большинстве случаев послужит гарантией того, чтобы избежать </w:t>
      </w:r>
      <w:proofErr w:type="spellStart"/>
      <w:r>
        <w:t>недооценивания</w:t>
      </w:r>
      <w:proofErr w:type="spellEnd"/>
      <w:r>
        <w:t xml:space="preserve"> неопределенности.</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10.6 Оценив</w:t>
      </w:r>
      <w:r>
        <w:rPr>
          <w:b/>
          <w:bCs/>
          <w:color w:val="000001"/>
        </w:rPr>
        <w:t xml:space="preserve">ание неопределенности </w:t>
      </w:r>
    </w:p>
    <w:p w:rsidR="00000000" w:rsidRDefault="005829C2">
      <w:pPr>
        <w:pStyle w:val="FORMATTEXT"/>
        <w:ind w:firstLine="568"/>
        <w:jc w:val="both"/>
      </w:pPr>
      <w:r>
        <w:rPr>
          <w:b/>
          <w:bCs/>
        </w:rPr>
        <w:t>10.6.1 Подход А: один метод в одной лаборатории</w:t>
      </w:r>
    </w:p>
    <w:p w:rsidR="00000000" w:rsidRDefault="005829C2">
      <w:pPr>
        <w:pStyle w:val="FORMATTEXT"/>
        <w:ind w:firstLine="568"/>
        <w:jc w:val="both"/>
      </w:pPr>
    </w:p>
    <w:p w:rsidR="00000000" w:rsidRDefault="005829C2">
      <w:pPr>
        <w:pStyle w:val="FORMATTEXT"/>
        <w:ind w:firstLine="568"/>
        <w:jc w:val="both"/>
      </w:pPr>
      <w:r>
        <w:t xml:space="preserve">Неопределенность, установленная, как описано в 10.5.1, является неопределенностью от </w:t>
      </w:r>
      <w:proofErr w:type="spellStart"/>
      <w:r>
        <w:t>характеризации</w:t>
      </w:r>
      <w:proofErr w:type="spellEnd"/>
      <w:r>
        <w:t xml:space="preserve"> </w:t>
      </w:r>
      <w:r>
        <w:rPr>
          <w:i/>
          <w:iCs/>
        </w:rPr>
        <w:t>u</w:t>
      </w:r>
      <w:r w:rsidR="00862BD0">
        <w:rPr>
          <w:noProof/>
          <w:position w:val="-10"/>
        </w:rPr>
        <w:drawing>
          <wp:inline distT="0" distB="0" distL="0" distR="0">
            <wp:extent cx="257175" cy="228600"/>
            <wp:effectExtent l="0" t="0" r="9525" b="0"/>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t>.</w:t>
      </w:r>
    </w:p>
    <w:p w:rsidR="00000000" w:rsidRDefault="005829C2">
      <w:pPr>
        <w:pStyle w:val="FORMATTEXT"/>
        <w:ind w:firstLine="568"/>
        <w:jc w:val="both"/>
      </w:pPr>
    </w:p>
    <w:p w:rsidR="00000000" w:rsidRDefault="005829C2">
      <w:pPr>
        <w:pStyle w:val="FORMATTEXT"/>
        <w:ind w:firstLine="568"/>
        <w:jc w:val="both"/>
      </w:pPr>
      <w:r>
        <w:rPr>
          <w:b/>
          <w:bCs/>
        </w:rPr>
        <w:t>10.6.2 Подход В: группа методов и/или лабора</w:t>
      </w:r>
      <w:r>
        <w:rPr>
          <w:b/>
          <w:bCs/>
        </w:rPr>
        <w:t>торий</w:t>
      </w:r>
    </w:p>
    <w:p w:rsidR="00000000" w:rsidRDefault="005829C2">
      <w:pPr>
        <w:pStyle w:val="FORMATTEXT"/>
        <w:ind w:firstLine="568"/>
        <w:jc w:val="both"/>
      </w:pPr>
    </w:p>
    <w:p w:rsidR="00000000" w:rsidRDefault="005829C2">
      <w:pPr>
        <w:pStyle w:val="FORMATTEXT"/>
        <w:ind w:firstLine="568"/>
        <w:jc w:val="both"/>
      </w:pPr>
      <w:r>
        <w:t xml:space="preserve">Если значения, представленные лабораториями, сопровождаются указаниями неопределенности, тогда используется метод, описанный в 10.7, и рассчитанная неопределенность является неопределенностью от </w:t>
      </w:r>
      <w:proofErr w:type="spellStart"/>
      <w:r>
        <w:t>характеризации</w:t>
      </w:r>
      <w:proofErr w:type="spellEnd"/>
      <w:r>
        <w:t xml:space="preserve"> </w:t>
      </w:r>
      <w:r>
        <w:rPr>
          <w:i/>
          <w:iCs/>
        </w:rPr>
        <w:t>u</w:t>
      </w:r>
      <w:r w:rsidR="00862BD0">
        <w:rPr>
          <w:noProof/>
          <w:position w:val="-10"/>
        </w:rPr>
        <w:drawing>
          <wp:inline distT="0" distB="0" distL="0" distR="0">
            <wp:extent cx="257175" cy="228600"/>
            <wp:effectExtent l="0" t="0" r="9525" b="0"/>
            <wp:docPr id="171" name="Рисунок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t>.</w:t>
      </w:r>
    </w:p>
    <w:p w:rsidR="00000000" w:rsidRDefault="005829C2">
      <w:pPr>
        <w:pStyle w:val="FORMATTEXT"/>
        <w:ind w:firstLine="568"/>
        <w:jc w:val="both"/>
      </w:pPr>
    </w:p>
    <w:p w:rsidR="00000000" w:rsidRDefault="005829C2">
      <w:pPr>
        <w:pStyle w:val="FORMATTEXT"/>
        <w:ind w:firstLine="568"/>
        <w:jc w:val="both"/>
      </w:pPr>
      <w:r>
        <w:t xml:space="preserve">Если лаборатории представляют только серию значений, стандартное отклонение от среднего является по крайней мере неопределенностью от </w:t>
      </w:r>
      <w:proofErr w:type="spellStart"/>
      <w:r>
        <w:t>характеризации</w:t>
      </w:r>
      <w:proofErr w:type="spellEnd"/>
      <w:r>
        <w:t xml:space="preserve"> </w:t>
      </w:r>
      <w:r>
        <w:rPr>
          <w:i/>
          <w:iCs/>
        </w:rPr>
        <w:t>u</w:t>
      </w:r>
      <w:r w:rsidR="00862BD0">
        <w:rPr>
          <w:noProof/>
          <w:position w:val="-10"/>
        </w:rPr>
        <w:drawing>
          <wp:inline distT="0" distB="0" distL="0" distR="0">
            <wp:extent cx="257175" cy="228600"/>
            <wp:effectExtent l="0" t="0" r="9525" b="0"/>
            <wp:docPr id="172"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t xml:space="preserve">. Если у неопределенности </w:t>
      </w:r>
      <w:r>
        <w:lastRenderedPageBreak/>
        <w:t>и/или смещения общие источники, тогда стандар</w:t>
      </w:r>
      <w:r>
        <w:t>тное отклонение от среднего необходимо дополнять оценками для этих источников неопределенности.</w:t>
      </w:r>
    </w:p>
    <w:p w:rsidR="00000000" w:rsidRDefault="005829C2">
      <w:pPr>
        <w:pStyle w:val="FORMATTEXT"/>
        <w:ind w:firstLine="568"/>
        <w:jc w:val="both"/>
      </w:pPr>
    </w:p>
    <w:p w:rsidR="00000000" w:rsidRDefault="005829C2">
      <w:pPr>
        <w:pStyle w:val="FORMATTEXT"/>
        <w:ind w:firstLine="568"/>
        <w:jc w:val="both"/>
      </w:pPr>
      <w:r>
        <w:rPr>
          <w:b/>
          <w:bCs/>
        </w:rPr>
        <w:t>10.6.3 Подход С: разные методы в одной лаборатории</w:t>
      </w:r>
    </w:p>
    <w:p w:rsidR="00000000" w:rsidRDefault="005829C2">
      <w:pPr>
        <w:pStyle w:val="FORMATTEXT"/>
        <w:ind w:firstLine="568"/>
        <w:jc w:val="both"/>
      </w:pPr>
    </w:p>
    <w:p w:rsidR="00000000" w:rsidRDefault="005829C2">
      <w:pPr>
        <w:pStyle w:val="FORMATTEXT"/>
        <w:ind w:firstLine="568"/>
        <w:jc w:val="both"/>
      </w:pPr>
      <w:r>
        <w:t>Если значения, представленные лабораториями, сопровождаются указаниями неопределенности, тогда используется</w:t>
      </w:r>
      <w:r>
        <w:t xml:space="preserve"> метод, описанный в 10.7, и рассчитанная неопределенность является неопределенностью от </w:t>
      </w:r>
      <w:proofErr w:type="spellStart"/>
      <w:r>
        <w:t>характеризации</w:t>
      </w:r>
      <w:proofErr w:type="spellEnd"/>
      <w:r>
        <w:t xml:space="preserve"> </w:t>
      </w:r>
      <w:r>
        <w:rPr>
          <w:i/>
          <w:iCs/>
        </w:rPr>
        <w:t>u</w:t>
      </w:r>
      <w:r w:rsidR="00862BD0">
        <w:rPr>
          <w:noProof/>
          <w:position w:val="-10"/>
        </w:rPr>
        <w:drawing>
          <wp:inline distT="0" distB="0" distL="0" distR="0">
            <wp:extent cx="257175" cy="228600"/>
            <wp:effectExtent l="0" t="0" r="9525" b="0"/>
            <wp:docPr id="173" name="Рисунок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t>.</w:t>
      </w:r>
    </w:p>
    <w:p w:rsidR="00000000" w:rsidRDefault="005829C2">
      <w:pPr>
        <w:pStyle w:val="FORMATTEXT"/>
        <w:ind w:firstLine="568"/>
        <w:jc w:val="both"/>
      </w:pPr>
    </w:p>
    <w:p w:rsidR="00000000" w:rsidRDefault="005829C2">
      <w:pPr>
        <w:pStyle w:val="FORMATTEXT"/>
        <w:ind w:firstLine="568"/>
        <w:jc w:val="both"/>
      </w:pPr>
      <w:r>
        <w:t xml:space="preserve">В другой ситуации стандартное отклонение от среднего является по крайней мере неопределенностью от </w:t>
      </w:r>
      <w:proofErr w:type="spellStart"/>
      <w:r>
        <w:t>характеризации</w:t>
      </w:r>
      <w:proofErr w:type="spellEnd"/>
      <w:r>
        <w:t xml:space="preserve"> </w:t>
      </w:r>
      <w:r>
        <w:rPr>
          <w:i/>
          <w:iCs/>
        </w:rPr>
        <w:t>u</w:t>
      </w:r>
      <w:r w:rsidR="00862BD0">
        <w:rPr>
          <w:noProof/>
          <w:position w:val="-10"/>
        </w:rPr>
        <w:drawing>
          <wp:inline distT="0" distB="0" distL="0" distR="0">
            <wp:extent cx="257175" cy="228600"/>
            <wp:effectExtent l="0" t="0" r="9525" b="0"/>
            <wp:docPr id="174" name="Рисунок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t>. Если проверка на сопоставимость с неопределенностью, связанной с результатом одного из методов, указывает на наличие расхождения, тогда в бюджете неопределенности необходимо сделать поправку на такое расхождение.</w:t>
      </w:r>
    </w:p>
    <w:p w:rsidR="00000000" w:rsidRDefault="005829C2">
      <w:pPr>
        <w:pStyle w:val="FORMATTEXT"/>
        <w:ind w:firstLine="568"/>
        <w:jc w:val="both"/>
      </w:pPr>
    </w:p>
    <w:p w:rsidR="00000000" w:rsidRDefault="005829C2">
      <w:pPr>
        <w:pStyle w:val="FORMATTEXT"/>
        <w:ind w:firstLine="568"/>
        <w:jc w:val="both"/>
      </w:pPr>
      <w:r>
        <w:rPr>
          <w:b/>
          <w:bCs/>
        </w:rPr>
        <w:t>10.</w:t>
      </w:r>
      <w:r>
        <w:rPr>
          <w:b/>
          <w:bCs/>
        </w:rPr>
        <w:t>6.4 Подход D: параметры, определяемые методом</w:t>
      </w:r>
    </w:p>
    <w:p w:rsidR="00000000" w:rsidRDefault="005829C2">
      <w:pPr>
        <w:pStyle w:val="FORMATTEXT"/>
        <w:ind w:firstLine="568"/>
        <w:jc w:val="both"/>
      </w:pPr>
    </w:p>
    <w:p w:rsidR="00000000" w:rsidRDefault="005829C2">
      <w:pPr>
        <w:pStyle w:val="FORMATTEXT"/>
        <w:ind w:firstLine="568"/>
        <w:jc w:val="both"/>
      </w:pPr>
      <w:r>
        <w:t>Оценку неопределенности параметров, определяемых методом, можно проводить тем же способом, который описан в 10.6.2.</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10.7 Оценивание, основанное на неопределенности </w:t>
      </w:r>
    </w:p>
    <w:p w:rsidR="00000000" w:rsidRDefault="005829C2">
      <w:pPr>
        <w:pStyle w:val="FORMATTEXT"/>
        <w:ind w:firstLine="568"/>
        <w:jc w:val="both"/>
      </w:pPr>
      <w:r>
        <w:rPr>
          <w:b/>
          <w:bCs/>
        </w:rPr>
        <w:t>10.7.1 Основные положения</w:t>
      </w:r>
    </w:p>
    <w:p w:rsidR="00000000" w:rsidRDefault="005829C2">
      <w:pPr>
        <w:pStyle w:val="FORMATTEXT"/>
        <w:ind w:firstLine="568"/>
        <w:jc w:val="both"/>
      </w:pPr>
    </w:p>
    <w:p w:rsidR="00000000" w:rsidRDefault="005829C2">
      <w:pPr>
        <w:pStyle w:val="FORMATTEXT"/>
        <w:ind w:firstLine="568"/>
        <w:jc w:val="both"/>
      </w:pPr>
      <w:r>
        <w:t>При налич</w:t>
      </w:r>
      <w:r>
        <w:t>ии информации о неопределенности результатов измерений первостепенной задачей статистической оценки результатов различных методов/лабораторий являются объединение результатов, включая их неопределенности, в единое значение (значение свойства) и оценка сумм</w:t>
      </w:r>
      <w:r>
        <w:t>арной стандартной неопределенности. Когда неопределенности установлены, то имеются в распоряжении модели неопределенности для измерений, являющихся частью измерительной кампании. Для получения наилучшего результата настоятельно рекомендуется использовать э</w:t>
      </w:r>
      <w:r>
        <w:t>ти модели неопределенности как часть оценки данных.</w:t>
      </w:r>
    </w:p>
    <w:p w:rsidR="00000000" w:rsidRDefault="005829C2">
      <w:pPr>
        <w:pStyle w:val="FORMATTEXT"/>
        <w:ind w:firstLine="568"/>
        <w:jc w:val="both"/>
      </w:pPr>
    </w:p>
    <w:p w:rsidR="00000000" w:rsidRDefault="005829C2">
      <w:pPr>
        <w:pStyle w:val="FORMATTEXT"/>
        <w:ind w:firstLine="568"/>
        <w:jc w:val="both"/>
      </w:pPr>
      <w:r>
        <w:t>Значение параметра обычно определяется как некоторая разновидность среднего значения, которое может быть взвешено с использованием при необходимости заранее определенной процедуры взвешивания. Если имеют</w:t>
      </w:r>
      <w:r>
        <w:t>ся модели неопределенности, тогда выражение для суммарной стандартной неопределенности можно получить, непосредственно используя стандартные формулы распределения неопределенностей (см. раздел 5 GUM) после добавления дополнительного источника неопределенно</w:t>
      </w:r>
      <w:r>
        <w:t>сти, учитывающего любой значительный разброс в результатах лабораторий. Это наиболее прямой путь, но не всегда возможно следовать в этом направлении.</w:t>
      </w:r>
    </w:p>
    <w:p w:rsidR="00000000" w:rsidRDefault="005829C2">
      <w:pPr>
        <w:pStyle w:val="FORMATTEXT"/>
        <w:ind w:firstLine="568"/>
        <w:jc w:val="both"/>
      </w:pPr>
    </w:p>
    <w:p w:rsidR="00000000" w:rsidRDefault="005829C2">
      <w:pPr>
        <w:pStyle w:val="FORMATTEXT"/>
        <w:ind w:firstLine="568"/>
        <w:jc w:val="both"/>
      </w:pPr>
      <w:r>
        <w:t>Возможная альтернатива дана в [34] и получила дальнейшее развитие в [38]. Суммарную стандартную неопредел</w:t>
      </w:r>
      <w:r>
        <w:t>енность значения параметра можно рассчитать по формуле:</w:t>
      </w:r>
    </w:p>
    <w:p w:rsidR="00000000" w:rsidRDefault="005829C2">
      <w:pPr>
        <w:pStyle w:val="FORMATTEXT"/>
        <w:ind w:firstLine="568"/>
        <w:jc w:val="both"/>
      </w:pPr>
    </w:p>
    <w:p w:rsidR="00000000" w:rsidRDefault="00862BD0">
      <w:pPr>
        <w:pStyle w:val="FORMATTEXT"/>
        <w:jc w:val="right"/>
      </w:pPr>
      <w:r>
        <w:rPr>
          <w:noProof/>
          <w:position w:val="-13"/>
        </w:rPr>
        <w:drawing>
          <wp:inline distT="0" distB="0" distL="0" distR="0">
            <wp:extent cx="1819275" cy="304800"/>
            <wp:effectExtent l="0" t="0" r="9525" b="0"/>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819275" cy="304800"/>
                    </a:xfrm>
                    <a:prstGeom prst="rect">
                      <a:avLst/>
                    </a:prstGeom>
                    <a:noFill/>
                    <a:ln>
                      <a:noFill/>
                    </a:ln>
                  </pic:spPr>
                </pic:pic>
              </a:graphicData>
            </a:graphic>
          </wp:inline>
        </w:drawing>
      </w:r>
      <w:r w:rsidR="005829C2">
        <w:t xml:space="preserve">,                                                    (26) </w:t>
      </w:r>
    </w:p>
    <w:p w:rsidR="00000000" w:rsidRDefault="005829C2">
      <w:pPr>
        <w:pStyle w:val="FORMATTEXT"/>
        <w:jc w:val="both"/>
      </w:pPr>
    </w:p>
    <w:p w:rsidR="00000000" w:rsidRDefault="005829C2">
      <w:pPr>
        <w:pStyle w:val="FORMATTEXT"/>
        <w:jc w:val="both"/>
      </w:pPr>
    </w:p>
    <w:p w:rsidR="00000000" w:rsidRDefault="005829C2">
      <w:pPr>
        <w:pStyle w:val="FORMATTEXT"/>
        <w:jc w:val="both"/>
      </w:pPr>
      <w:r>
        <w:t xml:space="preserve">где рассматривается четыре типа неопределенностей: </w:t>
      </w:r>
    </w:p>
    <w:p w:rsidR="00000000" w:rsidRDefault="005829C2">
      <w:pPr>
        <w:pStyle w:val="FORMATTEXT"/>
        <w:ind w:firstLine="568"/>
        <w:jc w:val="both"/>
      </w:pPr>
      <w:r>
        <w:t>- тип I - неопределенности отдельной лаборатории;</w:t>
      </w:r>
    </w:p>
    <w:p w:rsidR="00000000" w:rsidRDefault="005829C2">
      <w:pPr>
        <w:pStyle w:val="FORMATTEXT"/>
        <w:ind w:firstLine="568"/>
        <w:jc w:val="both"/>
      </w:pPr>
    </w:p>
    <w:p w:rsidR="00000000" w:rsidRDefault="005829C2">
      <w:pPr>
        <w:pStyle w:val="FORMATTEXT"/>
        <w:ind w:firstLine="568"/>
        <w:jc w:val="both"/>
      </w:pPr>
      <w:r>
        <w:t>- тип II - неопределенности, общие для всех лабораторий;</w:t>
      </w:r>
    </w:p>
    <w:p w:rsidR="00000000" w:rsidRDefault="005829C2">
      <w:pPr>
        <w:pStyle w:val="FORMATTEXT"/>
        <w:ind w:firstLine="568"/>
        <w:jc w:val="both"/>
      </w:pPr>
    </w:p>
    <w:p w:rsidR="00000000" w:rsidRDefault="005829C2">
      <w:pPr>
        <w:pStyle w:val="FORMATTEXT"/>
        <w:ind w:firstLine="568"/>
        <w:jc w:val="both"/>
      </w:pPr>
      <w:r>
        <w:t>- тип III - неопределенности, общие для групп лабораторий;</w:t>
      </w:r>
    </w:p>
    <w:p w:rsidR="00000000" w:rsidRDefault="005829C2">
      <w:pPr>
        <w:pStyle w:val="FORMATTEXT"/>
        <w:ind w:firstLine="568"/>
        <w:jc w:val="both"/>
      </w:pPr>
    </w:p>
    <w:p w:rsidR="00000000" w:rsidRDefault="005829C2">
      <w:pPr>
        <w:pStyle w:val="FORMATTEXT"/>
        <w:ind w:firstLine="568"/>
        <w:jc w:val="both"/>
      </w:pPr>
      <w:r>
        <w:t>- тип IV - расхождения между значениями участвующих лабораторий.</w:t>
      </w:r>
    </w:p>
    <w:p w:rsidR="00000000" w:rsidRDefault="005829C2">
      <w:pPr>
        <w:pStyle w:val="FORMATTEXT"/>
        <w:ind w:firstLine="568"/>
        <w:jc w:val="both"/>
      </w:pPr>
    </w:p>
    <w:p w:rsidR="00000000" w:rsidRDefault="005829C2">
      <w:pPr>
        <w:pStyle w:val="FORMATTEXT"/>
        <w:ind w:firstLine="568"/>
        <w:jc w:val="both"/>
      </w:pPr>
      <w:r>
        <w:t>Проведение этой оценки неопределенности вручную трудоемко и чувствитель</w:t>
      </w:r>
      <w:r>
        <w:t xml:space="preserve">но к ошибкам. На основе моделей измерений нет необходимости делать это вручную при условии, что информация, собранная как часть измерительной кампании, позволяет идентифицировать </w:t>
      </w:r>
      <w:proofErr w:type="spellStart"/>
      <w:r>
        <w:t>скоррелированные</w:t>
      </w:r>
      <w:proofErr w:type="spellEnd"/>
      <w:r>
        <w:t xml:space="preserve"> переменные величины в моделях. Как только все составляющие н</w:t>
      </w:r>
      <w:r>
        <w:t>еопределенности будут надлежащим образом зарегистрированы в базе данных, эту базу данных можно использовать для разработки всех различных видов неопределенностей. Это можно сделать разными путями: либо путем прямого определения необходимых выражений для чл</w:t>
      </w:r>
      <w:r>
        <w:t xml:space="preserve">енов [34], либо, например, хи-квадрат </w:t>
      </w:r>
      <w:r w:rsidR="00862BD0">
        <w:rPr>
          <w:noProof/>
          <w:position w:val="-11"/>
        </w:rPr>
        <w:drawing>
          <wp:inline distT="0" distB="0" distL="0" distR="0">
            <wp:extent cx="190500" cy="257175"/>
            <wp:effectExtent l="0" t="0" r="0" b="9525"/>
            <wp:docPr id="176" name="Рисунок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90500" cy="257175"/>
                    </a:xfrm>
                    <a:prstGeom prst="rect">
                      <a:avLst/>
                    </a:prstGeom>
                    <a:noFill/>
                    <a:ln>
                      <a:noFill/>
                    </a:ln>
                  </pic:spPr>
                </pic:pic>
              </a:graphicData>
            </a:graphic>
          </wp:inline>
        </w:drawing>
      </w:r>
      <w:r>
        <w:t>-</w:t>
      </w:r>
      <w:r>
        <w:lastRenderedPageBreak/>
        <w:t>аппроксимацией</w:t>
      </w:r>
      <w:r w:rsidR="00862BD0">
        <w:rPr>
          <w:noProof/>
          <w:position w:val="-9"/>
        </w:rPr>
        <w:drawing>
          <wp:inline distT="0" distB="0" distL="0" distR="0">
            <wp:extent cx="85725" cy="219075"/>
            <wp:effectExtent l="0" t="0" r="9525" b="9525"/>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t xml:space="preserve"> [38], [39]. </w:t>
      </w:r>
    </w:p>
    <w:p w:rsidR="00000000" w:rsidRDefault="005829C2">
      <w:pPr>
        <w:pStyle w:val="FORMATTEXT"/>
        <w:jc w:val="both"/>
      </w:pPr>
      <w:r>
        <w:t xml:space="preserve">________________ </w:t>
      </w:r>
    </w:p>
    <w:p w:rsidR="00000000" w:rsidRDefault="00862BD0">
      <w:pPr>
        <w:pStyle w:val="FORMATTEXT"/>
        <w:ind w:firstLine="568"/>
        <w:jc w:val="both"/>
      </w:pPr>
      <w:r>
        <w:rPr>
          <w:noProof/>
          <w:position w:val="-9"/>
        </w:rPr>
        <w:drawing>
          <wp:inline distT="0" distB="0" distL="0" distR="0">
            <wp:extent cx="85725" cy="219075"/>
            <wp:effectExtent l="0" t="0" r="9525" b="9525"/>
            <wp:docPr id="178"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rsidR="005829C2">
        <w:t xml:space="preserve">В литературе известен также как "метод наименьших квадратов" или "построение эмпирической кривой методом наименьших квадратов". В принципе, </w:t>
      </w:r>
      <w:r>
        <w:rPr>
          <w:noProof/>
          <w:position w:val="-11"/>
        </w:rPr>
        <w:drawing>
          <wp:inline distT="0" distB="0" distL="0" distR="0">
            <wp:extent cx="190500" cy="257175"/>
            <wp:effectExtent l="0" t="0" r="0" b="9525"/>
            <wp:docPr id="179" name="Рисунок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90500" cy="257175"/>
                    </a:xfrm>
                    <a:prstGeom prst="rect">
                      <a:avLst/>
                    </a:prstGeom>
                    <a:noFill/>
                    <a:ln>
                      <a:noFill/>
                    </a:ln>
                  </pic:spPr>
                </pic:pic>
              </a:graphicData>
            </a:graphic>
          </wp:inline>
        </w:drawing>
      </w:r>
      <w:r w:rsidR="005829C2">
        <w:t>-подбор отличается от "метода наименьших квад</w:t>
      </w:r>
      <w:r w:rsidR="005829C2">
        <w:t xml:space="preserve">ратов" только коэффициентом пересчета, позволяющим оценить статистический </w:t>
      </w:r>
      <w:r>
        <w:rPr>
          <w:noProof/>
          <w:position w:val="-11"/>
        </w:rPr>
        <w:drawing>
          <wp:inline distT="0" distB="0" distL="0" distR="0">
            <wp:extent cx="190500" cy="257175"/>
            <wp:effectExtent l="0" t="0" r="0" b="9525"/>
            <wp:docPr id="18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90500" cy="257175"/>
                    </a:xfrm>
                    <a:prstGeom prst="rect">
                      <a:avLst/>
                    </a:prstGeom>
                    <a:noFill/>
                    <a:ln>
                      <a:noFill/>
                    </a:ln>
                  </pic:spPr>
                </pic:pic>
              </a:graphicData>
            </a:graphic>
          </wp:inline>
        </w:drawing>
      </w:r>
      <w:r w:rsidR="005829C2">
        <w:t>после процедуры подбора.</w:t>
      </w:r>
    </w:p>
    <w:p w:rsidR="00000000" w:rsidRDefault="005829C2">
      <w:pPr>
        <w:pStyle w:val="FORMATTEXT"/>
        <w:ind w:firstLine="568"/>
        <w:jc w:val="both"/>
      </w:pPr>
    </w:p>
    <w:p w:rsidR="00000000" w:rsidRDefault="005829C2">
      <w:pPr>
        <w:pStyle w:val="FORMATTEXT"/>
        <w:ind w:firstLine="568"/>
        <w:jc w:val="both"/>
      </w:pPr>
      <w:r>
        <w:rPr>
          <w:b/>
          <w:bCs/>
        </w:rPr>
        <w:t>10.7.2 Хи-квадрат</w:t>
      </w:r>
      <w:r>
        <w:t xml:space="preserve"> </w:t>
      </w:r>
      <w:r w:rsidR="00862BD0">
        <w:rPr>
          <w:noProof/>
          <w:position w:val="-11"/>
        </w:rPr>
        <w:drawing>
          <wp:inline distT="0" distB="0" distL="0" distR="0">
            <wp:extent cx="190500" cy="257175"/>
            <wp:effectExtent l="0" t="0" r="0" b="9525"/>
            <wp:docPr id="181" name="Рисунок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90500" cy="257175"/>
                    </a:xfrm>
                    <a:prstGeom prst="rect">
                      <a:avLst/>
                    </a:prstGeom>
                    <a:noFill/>
                    <a:ln>
                      <a:noFill/>
                    </a:ln>
                  </pic:spPr>
                </pic:pic>
              </a:graphicData>
            </a:graphic>
          </wp:inline>
        </w:drawing>
      </w:r>
      <w:r>
        <w:rPr>
          <w:b/>
          <w:bCs/>
        </w:rPr>
        <w:t>-аппроксимация</w:t>
      </w:r>
    </w:p>
    <w:p w:rsidR="00000000" w:rsidRDefault="005829C2">
      <w:pPr>
        <w:pStyle w:val="FORMATTEXT"/>
        <w:ind w:firstLine="568"/>
        <w:jc w:val="both"/>
      </w:pPr>
    </w:p>
    <w:p w:rsidR="00000000" w:rsidRDefault="005829C2">
      <w:pPr>
        <w:pStyle w:val="FORMATTEXT"/>
        <w:ind w:firstLine="568"/>
        <w:jc w:val="both"/>
      </w:pPr>
      <w:r>
        <w:t>Метод </w:t>
      </w:r>
      <w:r w:rsidR="00862BD0">
        <w:rPr>
          <w:noProof/>
          <w:position w:val="-11"/>
        </w:rPr>
        <w:drawing>
          <wp:inline distT="0" distB="0" distL="0" distR="0">
            <wp:extent cx="190500" cy="257175"/>
            <wp:effectExtent l="0" t="0" r="0" b="9525"/>
            <wp:docPr id="182" name="Рисунок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90500" cy="257175"/>
                    </a:xfrm>
                    <a:prstGeom prst="rect">
                      <a:avLst/>
                    </a:prstGeom>
                    <a:noFill/>
                    <a:ln>
                      <a:noFill/>
                    </a:ln>
                  </pic:spPr>
                </pic:pic>
              </a:graphicData>
            </a:graphic>
          </wp:inline>
        </w:drawing>
      </w:r>
      <w:r>
        <w:t>-аппроксимации состоит в следующем. Можно составить следующее матричное уравнение:</w:t>
      </w:r>
    </w:p>
    <w:p w:rsidR="00000000" w:rsidRDefault="005829C2">
      <w:pPr>
        <w:pStyle w:val="FORMATTEXT"/>
        <w:ind w:firstLine="568"/>
        <w:jc w:val="both"/>
      </w:pPr>
    </w:p>
    <w:p w:rsidR="00000000" w:rsidRDefault="00862BD0">
      <w:pPr>
        <w:pStyle w:val="FORMATTEXT"/>
        <w:jc w:val="right"/>
      </w:pPr>
      <w:r>
        <w:rPr>
          <w:noProof/>
          <w:position w:val="-38"/>
        </w:rPr>
        <w:drawing>
          <wp:inline distT="0" distB="0" distL="0" distR="0">
            <wp:extent cx="923925" cy="962025"/>
            <wp:effectExtent l="0" t="0" r="9525" b="9525"/>
            <wp:docPr id="183" name="Рисунок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923925" cy="962025"/>
                    </a:xfrm>
                    <a:prstGeom prst="rect">
                      <a:avLst/>
                    </a:prstGeom>
                    <a:noFill/>
                    <a:ln>
                      <a:noFill/>
                    </a:ln>
                  </pic:spPr>
                </pic:pic>
              </a:graphicData>
            </a:graphic>
          </wp:inline>
        </w:drawing>
      </w:r>
      <w:r w:rsidR="005829C2">
        <w:t>,                                          </w:t>
      </w:r>
      <w:r w:rsidR="005829C2">
        <w:t xml:space="preserve">                        (27)* </w:t>
      </w:r>
    </w:p>
    <w:p w:rsidR="00000000" w:rsidRDefault="005829C2">
      <w:pPr>
        <w:pStyle w:val="FORMATTEXT"/>
        <w:jc w:val="both"/>
      </w:pPr>
    </w:p>
    <w:p w:rsidR="00000000" w:rsidRDefault="005829C2">
      <w:pPr>
        <w:pStyle w:val="FORMATTEXT"/>
        <w:jc w:val="both"/>
      </w:pPr>
    </w:p>
    <w:p w:rsidR="00000000" w:rsidRDefault="005829C2">
      <w:pPr>
        <w:pStyle w:val="FORMATTEXT"/>
        <w:jc w:val="both"/>
      </w:pPr>
      <w:r>
        <w:t xml:space="preserve">где </w:t>
      </w:r>
      <w:r w:rsidR="00862BD0">
        <w:rPr>
          <w:noProof/>
          <w:position w:val="-6"/>
        </w:rPr>
        <w:drawing>
          <wp:inline distT="0" distB="0" distL="0" distR="0">
            <wp:extent cx="142875" cy="142875"/>
            <wp:effectExtent l="0" t="0" r="9525" b="9525"/>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t xml:space="preserve">- значение параметра, </w:t>
      </w:r>
      <w:r>
        <w:rPr>
          <w:i/>
          <w:iCs/>
        </w:rPr>
        <w:t>у</w:t>
      </w:r>
      <w:r w:rsidR="00862BD0">
        <w:rPr>
          <w:noProof/>
          <w:position w:val="-10"/>
        </w:rPr>
        <w:drawing>
          <wp:inline distT="0" distB="0" distL="0" distR="0">
            <wp:extent cx="85725" cy="228600"/>
            <wp:effectExtent l="0" t="0" r="9525" b="0"/>
            <wp:docPr id="185"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t xml:space="preserve"> - результаты измерений, полученные в ходе совместного исследования и </w:t>
      </w:r>
      <w:r>
        <w:rPr>
          <w:i/>
          <w:iCs/>
        </w:rPr>
        <w:t>х</w:t>
      </w:r>
      <w:r>
        <w:t xml:space="preserve"> - вектор плана эксперимента. Для этого конкретного сл</w:t>
      </w:r>
      <w:r>
        <w:t xml:space="preserve">учая все значения </w:t>
      </w:r>
      <w:r>
        <w:rPr>
          <w:i/>
          <w:iCs/>
        </w:rPr>
        <w:t>x</w:t>
      </w:r>
      <w:r w:rsidR="00862BD0">
        <w:rPr>
          <w:noProof/>
          <w:position w:val="-10"/>
        </w:rPr>
        <w:drawing>
          <wp:inline distT="0" distB="0" distL="0" distR="0">
            <wp:extent cx="85725" cy="228600"/>
            <wp:effectExtent l="0" t="0" r="9525" b="0"/>
            <wp:docPr id="186"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t xml:space="preserve"> известны, как только определена проблема подбора кривой при аппроксимации. Для данной </w:t>
      </w:r>
      <w:proofErr w:type="gramStart"/>
      <w:r>
        <w:t xml:space="preserve">ситуации </w:t>
      </w:r>
      <w:r w:rsidR="00862BD0">
        <w:rPr>
          <w:noProof/>
          <w:position w:val="-10"/>
        </w:rPr>
        <w:drawing>
          <wp:inline distT="0" distB="0" distL="0" distR="0">
            <wp:extent cx="1114425" cy="238125"/>
            <wp:effectExtent l="0" t="0" r="9525" b="9525"/>
            <wp:docPr id="187"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114425" cy="238125"/>
                    </a:xfrm>
                    <a:prstGeom prst="rect">
                      <a:avLst/>
                    </a:prstGeom>
                    <a:noFill/>
                    <a:ln>
                      <a:noFill/>
                    </a:ln>
                  </pic:spPr>
                </pic:pic>
              </a:graphicData>
            </a:graphic>
          </wp:inline>
        </w:drawing>
      </w:r>
      <w:r>
        <w:t>.</w:t>
      </w:r>
      <w:proofErr w:type="gramEnd"/>
      <w:r>
        <w:t xml:space="preserve"> Результаты </w:t>
      </w:r>
      <w:r>
        <w:rPr>
          <w:i/>
          <w:iCs/>
        </w:rPr>
        <w:t>у,</w:t>
      </w:r>
      <w:r>
        <w:t xml:space="preserve"> очевидно, связаны с неопределенностями. Это будет учт</w:t>
      </w:r>
      <w:r>
        <w:t>ено в ковариационной матрице дисперсии, определяемой как:</w:t>
      </w:r>
    </w:p>
    <w:p w:rsidR="00000000" w:rsidRDefault="005829C2">
      <w:pPr>
        <w:pStyle w:val="FORMATTEXT"/>
        <w:jc w:val="both"/>
      </w:pPr>
      <w:r>
        <w:t xml:space="preserve">______________ </w:t>
      </w:r>
    </w:p>
    <w:p w:rsidR="00000000" w:rsidRDefault="005829C2">
      <w:pPr>
        <w:pStyle w:val="FORMATTEXT"/>
      </w:pPr>
      <w:r>
        <w:t xml:space="preserve">     * Формула и экспликация к ней соответствуют оригиналу. - Примечание изготовителя базы данных.   </w:t>
      </w:r>
    </w:p>
    <w:p w:rsidR="00000000" w:rsidRDefault="00862BD0">
      <w:pPr>
        <w:pStyle w:val="FORMATTEXT"/>
        <w:jc w:val="right"/>
      </w:pPr>
      <w:r>
        <w:rPr>
          <w:noProof/>
          <w:position w:val="-41"/>
        </w:rPr>
        <w:drawing>
          <wp:inline distT="0" distB="0" distL="0" distR="0">
            <wp:extent cx="2790825" cy="1019175"/>
            <wp:effectExtent l="0" t="0" r="9525" b="9525"/>
            <wp:docPr id="188"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790825" cy="1019175"/>
                    </a:xfrm>
                    <a:prstGeom prst="rect">
                      <a:avLst/>
                    </a:prstGeom>
                    <a:noFill/>
                    <a:ln>
                      <a:noFill/>
                    </a:ln>
                  </pic:spPr>
                </pic:pic>
              </a:graphicData>
            </a:graphic>
          </wp:inline>
        </w:drawing>
      </w:r>
      <w:r w:rsidR="005829C2">
        <w:t>.                                          (2</w:t>
      </w:r>
      <w:r w:rsidR="005829C2">
        <w:t xml:space="preserve">8) </w:t>
      </w:r>
    </w:p>
    <w:p w:rsidR="00000000" w:rsidRDefault="005829C2">
      <w:pPr>
        <w:pStyle w:val="FORMATTEXT"/>
        <w:ind w:firstLine="568"/>
        <w:jc w:val="both"/>
      </w:pPr>
      <w:r>
        <w:t xml:space="preserve">Следует отметить, что эта матрица имеет размеры </w:t>
      </w:r>
      <w:r>
        <w:rPr>
          <w:i/>
          <w:iCs/>
        </w:rPr>
        <w:t>р</w:t>
      </w:r>
      <w:r>
        <w:t xml:space="preserve"> на </w:t>
      </w:r>
      <w:r>
        <w:rPr>
          <w:i/>
          <w:iCs/>
        </w:rPr>
        <w:t>р</w:t>
      </w:r>
      <w:r>
        <w:t>, и она симметрична (т.е. верхний треугольник содержит те же элементы, что и нижний треугольник). Ковариация между каждой парой лабораторий оценивается путем поиска всех переменных величин, вовлечен</w:t>
      </w:r>
      <w:r>
        <w:t>ных в расчет результата, и идентификации общих величин. Для этого поиска не имеет значения, являются ли эти составляющие общими для двух или большего числа лабораторий. Процесс попарного изучения любых существующих ковариаций позволяет во время его проведе</w:t>
      </w:r>
      <w:r>
        <w:t>ния не делать различия между неопределенностями типа II и типа III (см. 10.7.1).</w:t>
      </w:r>
    </w:p>
    <w:p w:rsidR="00000000" w:rsidRDefault="005829C2">
      <w:pPr>
        <w:pStyle w:val="FORMATTEXT"/>
        <w:ind w:firstLine="568"/>
        <w:jc w:val="both"/>
      </w:pPr>
    </w:p>
    <w:p w:rsidR="00000000" w:rsidRDefault="005829C2">
      <w:pPr>
        <w:pStyle w:val="FORMATTEXT"/>
        <w:ind w:firstLine="568"/>
        <w:jc w:val="both"/>
      </w:pPr>
      <w:r>
        <w:t xml:space="preserve">После установления ковариационной матрицы </w:t>
      </w:r>
      <w:r>
        <w:rPr>
          <w:i/>
          <w:iCs/>
        </w:rPr>
        <w:t>V(y)</w:t>
      </w:r>
      <w:r>
        <w:t xml:space="preserve"> задача аппроксимации может быть определена как:</w:t>
      </w:r>
    </w:p>
    <w:p w:rsidR="00000000" w:rsidRDefault="005829C2">
      <w:pPr>
        <w:pStyle w:val="FORMATTEXT"/>
        <w:ind w:firstLine="568"/>
        <w:jc w:val="both"/>
      </w:pPr>
    </w:p>
    <w:p w:rsidR="00000000" w:rsidRDefault="00862BD0">
      <w:pPr>
        <w:pStyle w:val="FORMATTEXT"/>
        <w:jc w:val="right"/>
      </w:pPr>
      <w:r>
        <w:rPr>
          <w:noProof/>
          <w:position w:val="-11"/>
        </w:rPr>
        <w:drawing>
          <wp:inline distT="0" distB="0" distL="0" distR="0">
            <wp:extent cx="1819275" cy="257175"/>
            <wp:effectExtent l="0" t="0" r="9525" b="9525"/>
            <wp:docPr id="189"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819275" cy="257175"/>
                    </a:xfrm>
                    <a:prstGeom prst="rect">
                      <a:avLst/>
                    </a:prstGeom>
                    <a:noFill/>
                    <a:ln>
                      <a:noFill/>
                    </a:ln>
                  </pic:spPr>
                </pic:pic>
              </a:graphicData>
            </a:graphic>
          </wp:inline>
        </w:drawing>
      </w:r>
      <w:r w:rsidR="005829C2">
        <w:t>.                                          </w:t>
      </w:r>
      <w:r w:rsidR="005829C2">
        <w:t xml:space="preserve">           (29) </w:t>
      </w:r>
    </w:p>
    <w:p w:rsidR="00000000" w:rsidRDefault="005829C2">
      <w:pPr>
        <w:pStyle w:val="FORMATTEXT"/>
        <w:ind w:firstLine="568"/>
        <w:jc w:val="both"/>
      </w:pPr>
      <w:r>
        <w:t>Значение параметра может быть выражено как:</w:t>
      </w:r>
    </w:p>
    <w:p w:rsidR="00000000" w:rsidRDefault="005829C2">
      <w:pPr>
        <w:pStyle w:val="FORMATTEXT"/>
        <w:ind w:firstLine="568"/>
        <w:jc w:val="both"/>
      </w:pPr>
    </w:p>
    <w:p w:rsidR="00000000" w:rsidRDefault="00862BD0">
      <w:pPr>
        <w:pStyle w:val="FORMATTEXT"/>
        <w:jc w:val="right"/>
      </w:pPr>
      <w:r>
        <w:rPr>
          <w:noProof/>
          <w:position w:val="-11"/>
        </w:rPr>
        <w:drawing>
          <wp:inline distT="0" distB="0" distL="0" distR="0">
            <wp:extent cx="1371600" cy="266700"/>
            <wp:effectExtent l="0" t="0" r="0" b="0"/>
            <wp:docPr id="190" name="Рисунок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371600" cy="266700"/>
                    </a:xfrm>
                    <a:prstGeom prst="rect">
                      <a:avLst/>
                    </a:prstGeom>
                    <a:noFill/>
                    <a:ln>
                      <a:noFill/>
                    </a:ln>
                  </pic:spPr>
                </pic:pic>
              </a:graphicData>
            </a:graphic>
          </wp:inline>
        </w:drawing>
      </w:r>
      <w:r w:rsidR="005829C2">
        <w:t xml:space="preserve">,                                                     (30) </w:t>
      </w:r>
    </w:p>
    <w:p w:rsidR="00000000" w:rsidRDefault="005829C2">
      <w:pPr>
        <w:pStyle w:val="FORMATTEXT"/>
        <w:jc w:val="both"/>
      </w:pPr>
    </w:p>
    <w:p w:rsidR="00000000" w:rsidRDefault="005829C2">
      <w:pPr>
        <w:pStyle w:val="FORMATTEXT"/>
        <w:jc w:val="both"/>
      </w:pPr>
    </w:p>
    <w:p w:rsidR="00000000" w:rsidRDefault="005829C2">
      <w:pPr>
        <w:pStyle w:val="FORMATTEXT"/>
        <w:jc w:val="both"/>
      </w:pPr>
      <w:r>
        <w:t>где</w:t>
      </w:r>
    </w:p>
    <w:p w:rsidR="00000000" w:rsidRDefault="00862BD0">
      <w:pPr>
        <w:pStyle w:val="FORMATTEXT"/>
        <w:jc w:val="right"/>
      </w:pPr>
      <w:r>
        <w:rPr>
          <w:noProof/>
          <w:position w:val="-12"/>
        </w:rPr>
        <w:drawing>
          <wp:inline distT="0" distB="0" distL="0" distR="0">
            <wp:extent cx="1066800" cy="295275"/>
            <wp:effectExtent l="0" t="0" r="0" b="9525"/>
            <wp:docPr id="191" name="Рисунок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066800" cy="295275"/>
                    </a:xfrm>
                    <a:prstGeom prst="rect">
                      <a:avLst/>
                    </a:prstGeom>
                    <a:noFill/>
                    <a:ln>
                      <a:noFill/>
                    </a:ln>
                  </pic:spPr>
                </pic:pic>
              </a:graphicData>
            </a:graphic>
          </wp:inline>
        </w:drawing>
      </w:r>
      <w:r w:rsidR="005829C2">
        <w:t>                                                         </w:t>
      </w:r>
      <w:r w:rsidR="005829C2">
        <w:t xml:space="preserve">   (31) </w:t>
      </w:r>
    </w:p>
    <w:p w:rsidR="00000000" w:rsidRDefault="005829C2">
      <w:pPr>
        <w:pStyle w:val="FORMATTEXT"/>
        <w:jc w:val="both"/>
      </w:pPr>
    </w:p>
    <w:p w:rsidR="00000000" w:rsidRDefault="005829C2">
      <w:pPr>
        <w:pStyle w:val="FORMATTEXT"/>
        <w:jc w:val="both"/>
      </w:pPr>
    </w:p>
    <w:p w:rsidR="00000000" w:rsidRDefault="005829C2">
      <w:pPr>
        <w:pStyle w:val="FORMATTEXT"/>
        <w:jc w:val="both"/>
      </w:pPr>
      <w:r>
        <w:t>и его дисперсия - по формуле:</w:t>
      </w:r>
    </w:p>
    <w:p w:rsidR="00000000" w:rsidRDefault="00862BD0">
      <w:pPr>
        <w:pStyle w:val="FORMATTEXT"/>
        <w:jc w:val="right"/>
      </w:pPr>
      <w:r>
        <w:rPr>
          <w:noProof/>
          <w:position w:val="-11"/>
        </w:rPr>
        <w:drawing>
          <wp:inline distT="0" distB="0" distL="0" distR="0">
            <wp:extent cx="1019175" cy="266700"/>
            <wp:effectExtent l="0" t="0" r="9525" b="0"/>
            <wp:docPr id="192" name="Рисунок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019175" cy="266700"/>
                    </a:xfrm>
                    <a:prstGeom prst="rect">
                      <a:avLst/>
                    </a:prstGeom>
                    <a:noFill/>
                    <a:ln>
                      <a:noFill/>
                    </a:ln>
                  </pic:spPr>
                </pic:pic>
              </a:graphicData>
            </a:graphic>
          </wp:inline>
        </w:drawing>
      </w:r>
      <w:r w:rsidR="005829C2">
        <w:t xml:space="preserve">.                                                         (32) </w:t>
      </w:r>
    </w:p>
    <w:p w:rsidR="00000000" w:rsidRDefault="005829C2">
      <w:pPr>
        <w:pStyle w:val="FORMATTEXT"/>
        <w:ind w:firstLine="568"/>
        <w:jc w:val="both"/>
      </w:pPr>
      <w:r>
        <w:t>Существуют различные стабильные алгоритмы решения задачи подбора кривой, как дается уравнением (29). Кроме того, необходимо сделать пояснение в отношении мат</w:t>
      </w:r>
      <w:r>
        <w:t xml:space="preserve">рицы </w:t>
      </w:r>
      <w:r>
        <w:rPr>
          <w:i/>
          <w:iCs/>
        </w:rPr>
        <w:t>V</w:t>
      </w:r>
      <w:r>
        <w:t xml:space="preserve">. Эта матрица равна </w:t>
      </w:r>
      <w:r>
        <w:rPr>
          <w:i/>
          <w:iCs/>
        </w:rPr>
        <w:t>V(y)</w:t>
      </w:r>
      <w:r>
        <w:t xml:space="preserve"> при условии, что последняя содержит все составляющие неопределенности, относящиеся к сличению. Если это не так, то к </w:t>
      </w:r>
      <w:r>
        <w:rPr>
          <w:i/>
          <w:iCs/>
        </w:rPr>
        <w:t>V(y)</w:t>
      </w:r>
      <w:r>
        <w:t xml:space="preserve"> необходимо добавить дополнительную ковариационную матрицу дисперсии. Построение такой матрицы аналогичн</w:t>
      </w:r>
      <w:r>
        <w:t xml:space="preserve">о построению </w:t>
      </w:r>
      <w:r>
        <w:rPr>
          <w:i/>
          <w:iCs/>
        </w:rPr>
        <w:t>V(y),</w:t>
      </w:r>
      <w:r>
        <w:t xml:space="preserve"> при котором часто заполняется только диагональ.</w:t>
      </w:r>
    </w:p>
    <w:p w:rsidR="00000000" w:rsidRDefault="005829C2">
      <w:pPr>
        <w:pStyle w:val="FORMATTEXT"/>
        <w:ind w:firstLine="568"/>
        <w:jc w:val="both"/>
      </w:pPr>
    </w:p>
    <w:p w:rsidR="00000000" w:rsidRDefault="005829C2">
      <w:pPr>
        <w:pStyle w:val="FORMATTEXT"/>
        <w:ind w:firstLine="568"/>
        <w:jc w:val="both"/>
      </w:pPr>
      <w:r>
        <w:t>Представленный здесь метод является прямой реализацией описанной здесь модели. Он никоим образом не является единственным методом [40], [41]. Перед его использованием следует решить пробле</w:t>
      </w:r>
      <w:r>
        <w:t xml:space="preserve">му с выбросами (см. также 10.5.5). Аналогично следует критически рассмотреть заявленные неопределенности на их достоверность и при необходимости соответственно адаптировать схему задания веса [42] (см. также 10.5.1). Известно, что </w:t>
      </w:r>
      <w:r w:rsidR="00862BD0">
        <w:rPr>
          <w:noProof/>
          <w:position w:val="-11"/>
        </w:rPr>
        <w:drawing>
          <wp:inline distT="0" distB="0" distL="0" distR="0">
            <wp:extent cx="190500" cy="257175"/>
            <wp:effectExtent l="0" t="0" r="0" b="9525"/>
            <wp:docPr id="193" name="Рисунок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90500" cy="257175"/>
                    </a:xfrm>
                    <a:prstGeom prst="rect">
                      <a:avLst/>
                    </a:prstGeom>
                    <a:noFill/>
                    <a:ln>
                      <a:noFill/>
                    </a:ln>
                  </pic:spPr>
                </pic:pic>
              </a:graphicData>
            </a:graphic>
          </wp:inline>
        </w:drawing>
      </w:r>
      <w:r>
        <w:t>-аппроксимация чувствительна к резко отклоняющимся результатам, а также к проблемам с заданием весов.</w:t>
      </w:r>
    </w:p>
    <w:p w:rsidR="00000000" w:rsidRDefault="005829C2">
      <w:pPr>
        <w:pStyle w:val="FORMATTEXT"/>
        <w:ind w:firstLine="568"/>
        <w:jc w:val="both"/>
      </w:pP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10.8 Специальные вопросы </w:t>
      </w:r>
    </w:p>
    <w:p w:rsidR="00000000" w:rsidRDefault="005829C2">
      <w:pPr>
        <w:pStyle w:val="FORMATTEXT"/>
        <w:ind w:firstLine="568"/>
        <w:jc w:val="both"/>
      </w:pPr>
      <w:r>
        <w:rPr>
          <w:b/>
          <w:bCs/>
        </w:rPr>
        <w:t>10.8.1 Оценивание данных с использованием дисперсионного анализа</w:t>
      </w:r>
    </w:p>
    <w:p w:rsidR="00000000" w:rsidRDefault="005829C2">
      <w:pPr>
        <w:pStyle w:val="FORMATTEXT"/>
        <w:ind w:firstLine="568"/>
        <w:jc w:val="both"/>
      </w:pPr>
    </w:p>
    <w:p w:rsidR="00000000" w:rsidRDefault="005829C2">
      <w:pPr>
        <w:pStyle w:val="FORMATTEXT"/>
        <w:ind w:firstLine="568"/>
        <w:jc w:val="both"/>
      </w:pPr>
      <w:r>
        <w:t>Для подходов С, D и как часть подхода В мож</w:t>
      </w:r>
      <w:r>
        <w:t>но использовать дисперсионный анализ (ANOVA) как инструмент обработки данных. Использование ANOVA может быть, в частности, полезно при оценке составляющих неопределенности, таких как однородность между экземплярами (см., например, 10.8.2 и А.2) или межлабо</w:t>
      </w:r>
      <w:r>
        <w:t>раторное стандартное отклонение (см. А.3). В ином случае взамен этих стратегий можно рассчитать среднее средних значений.</w:t>
      </w:r>
    </w:p>
    <w:p w:rsidR="00000000" w:rsidRDefault="005829C2">
      <w:pPr>
        <w:pStyle w:val="FORMATTEXT"/>
        <w:ind w:firstLine="568"/>
        <w:jc w:val="both"/>
      </w:pPr>
    </w:p>
    <w:p w:rsidR="00000000" w:rsidRDefault="005829C2">
      <w:pPr>
        <w:pStyle w:val="FORMATTEXT"/>
        <w:ind w:firstLine="568"/>
        <w:jc w:val="both"/>
      </w:pPr>
      <w:r>
        <w:rPr>
          <w:b/>
          <w:bCs/>
        </w:rPr>
        <w:t>10.8.2 Подтверждение однородности в</w:t>
      </w:r>
      <w:r>
        <w:t xml:space="preserve"> </w:t>
      </w:r>
      <w:r>
        <w:rPr>
          <w:b/>
          <w:bCs/>
        </w:rPr>
        <w:t>рамках межлабораторного исследования</w:t>
      </w:r>
    </w:p>
    <w:p w:rsidR="00000000" w:rsidRDefault="005829C2">
      <w:pPr>
        <w:pStyle w:val="FORMATTEXT"/>
        <w:ind w:firstLine="568"/>
        <w:jc w:val="both"/>
      </w:pPr>
    </w:p>
    <w:p w:rsidR="00000000" w:rsidRDefault="005829C2">
      <w:pPr>
        <w:pStyle w:val="FORMATTEXT"/>
        <w:ind w:firstLine="568"/>
        <w:jc w:val="both"/>
      </w:pPr>
      <w:r>
        <w:t>Результаты межлабораторного исследования могут служить в ка</w:t>
      </w:r>
      <w:r>
        <w:t xml:space="preserve">честве окончательного подтверждения однородности СО. Для этой цели выполняется двухфакторный иерархический план эксперимента, при котором используется </w:t>
      </w:r>
      <w:proofErr w:type="spellStart"/>
      <w:r>
        <w:rPr>
          <w:i/>
          <w:iCs/>
        </w:rPr>
        <w:t>pq</w:t>
      </w:r>
      <w:proofErr w:type="spellEnd"/>
      <w:r>
        <w:t xml:space="preserve"> испытуемых проб, </w:t>
      </w:r>
      <w:r>
        <w:rPr>
          <w:i/>
          <w:iCs/>
        </w:rPr>
        <w:t>р</w:t>
      </w:r>
      <w:r>
        <w:t xml:space="preserve"> лабораторий и/или методов. Каждая лаборатория определяет значение характеристики </w:t>
      </w:r>
      <w:r>
        <w:rPr>
          <w:i/>
          <w:iCs/>
        </w:rPr>
        <w:t>q</w:t>
      </w:r>
      <w:r>
        <w:t xml:space="preserve"> </w:t>
      </w:r>
      <w:r>
        <w:t xml:space="preserve">испытуемых проб, выполняя </w:t>
      </w:r>
      <w:r>
        <w:rPr>
          <w:i/>
          <w:iCs/>
        </w:rPr>
        <w:t>n</w:t>
      </w:r>
      <w:r>
        <w:t xml:space="preserve"> повторных определений на испытуемую пробу (более подробную информацию об исследовании однородности см. раздел 7). Для выполнения требований дисперсионного анализа и соответствия его исходным допущениям важно строго следовать это</w:t>
      </w:r>
      <w:r>
        <w:t>му плану эксперимента [20]. В разделе А.2 приведена необходимая статистика для расчета соответствующих дисперсий.</w:t>
      </w:r>
    </w:p>
    <w:p w:rsidR="00000000" w:rsidRDefault="005829C2">
      <w:pPr>
        <w:pStyle w:val="FORMATTEXT"/>
        <w:ind w:firstLine="568"/>
        <w:jc w:val="both"/>
      </w:pPr>
    </w:p>
    <w:p w:rsidR="00000000" w:rsidRDefault="005829C2">
      <w:pPr>
        <w:pStyle w:val="FORMATTEXT"/>
        <w:ind w:firstLine="568"/>
        <w:jc w:val="both"/>
      </w:pPr>
      <w:r>
        <w:rPr>
          <w:b/>
          <w:bCs/>
        </w:rPr>
        <w:t>10.8.3 Суммарная стандартная неопределенность значения параметра</w:t>
      </w:r>
    </w:p>
    <w:p w:rsidR="00000000" w:rsidRDefault="005829C2">
      <w:pPr>
        <w:pStyle w:val="FORMATTEXT"/>
        <w:ind w:firstLine="568"/>
        <w:jc w:val="both"/>
      </w:pPr>
    </w:p>
    <w:p w:rsidR="00000000" w:rsidRDefault="005829C2">
      <w:pPr>
        <w:pStyle w:val="FORMATTEXT"/>
        <w:ind w:firstLine="568"/>
        <w:jc w:val="both"/>
      </w:pPr>
      <w:r>
        <w:t>Для установления значения параметра можно разработать целый ряд программ, о</w:t>
      </w:r>
      <w:r>
        <w:t>снованных на серии измерений. Такое значение параметра представляет обычно некоторую разновидность среднего значения, а иногда - робастное среднее [42]. В этом пункте кратко описано, как переводить выражения для среднего, включая полученные от применения A</w:t>
      </w:r>
      <w:r>
        <w:t xml:space="preserve">NOVA, в выражение для неопределенности значения параметра </w:t>
      </w:r>
      <w:r>
        <w:rPr>
          <w:i/>
          <w:iCs/>
        </w:rPr>
        <w:t>u</w:t>
      </w:r>
      <w:r w:rsidR="00862BD0">
        <w:rPr>
          <w:noProof/>
          <w:position w:val="-10"/>
        </w:rPr>
        <w:drawing>
          <wp:inline distT="0" distB="0" distL="0" distR="0">
            <wp:extent cx="257175" cy="228600"/>
            <wp:effectExtent l="0" t="0" r="9525" b="0"/>
            <wp:docPr id="194" name="Рисунок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rPr>
          <w:i/>
          <w:iCs/>
        </w:rPr>
        <w:t>.</w:t>
      </w:r>
    </w:p>
    <w:p w:rsidR="00000000" w:rsidRDefault="005829C2">
      <w:pPr>
        <w:pStyle w:val="FORMATTEXT"/>
        <w:ind w:firstLine="568"/>
        <w:jc w:val="both"/>
      </w:pPr>
    </w:p>
    <w:p w:rsidR="00000000" w:rsidRDefault="005829C2">
      <w:pPr>
        <w:pStyle w:val="FORMATTEXT"/>
        <w:ind w:firstLine="568"/>
        <w:jc w:val="both"/>
      </w:pPr>
      <w:r>
        <w:t>Среднее совместного исследования можно определить следующим образом:</w:t>
      </w:r>
    </w:p>
    <w:p w:rsidR="00000000" w:rsidRDefault="005829C2">
      <w:pPr>
        <w:pStyle w:val="FORMATTEXT"/>
        <w:ind w:firstLine="568"/>
        <w:jc w:val="both"/>
      </w:pPr>
    </w:p>
    <w:p w:rsidR="00000000" w:rsidRDefault="00862BD0">
      <w:pPr>
        <w:pStyle w:val="FORMATTEXT"/>
        <w:jc w:val="right"/>
      </w:pPr>
      <w:r>
        <w:rPr>
          <w:noProof/>
          <w:position w:val="-11"/>
        </w:rPr>
        <w:drawing>
          <wp:inline distT="0" distB="0" distL="0" distR="0">
            <wp:extent cx="695325" cy="257175"/>
            <wp:effectExtent l="0" t="0" r="9525" b="9525"/>
            <wp:docPr id="195" name="Рисунок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695325" cy="257175"/>
                    </a:xfrm>
                    <a:prstGeom prst="rect">
                      <a:avLst/>
                    </a:prstGeom>
                    <a:noFill/>
                    <a:ln>
                      <a:noFill/>
                    </a:ln>
                  </pic:spPr>
                </pic:pic>
              </a:graphicData>
            </a:graphic>
          </wp:inline>
        </w:drawing>
      </w:r>
      <w:r w:rsidR="005829C2">
        <w:t>,                                                    </w:t>
      </w:r>
      <w:r w:rsidR="005829C2">
        <w:t xml:space="preserve">              (33) </w:t>
      </w:r>
    </w:p>
    <w:p w:rsidR="00000000" w:rsidRDefault="005829C2">
      <w:pPr>
        <w:pStyle w:val="FORMATTEXT"/>
        <w:jc w:val="both"/>
      </w:pPr>
    </w:p>
    <w:p w:rsidR="00000000" w:rsidRDefault="005829C2">
      <w:pPr>
        <w:pStyle w:val="FORMATTEXT"/>
        <w:jc w:val="both"/>
      </w:pPr>
    </w:p>
    <w:p w:rsidR="00000000" w:rsidRDefault="005829C2">
      <w:pPr>
        <w:pStyle w:val="FORMATTEXT"/>
        <w:jc w:val="both"/>
      </w:pPr>
      <w:r>
        <w:t xml:space="preserve">где </w:t>
      </w:r>
      <w:r>
        <w:rPr>
          <w:i/>
          <w:iCs/>
        </w:rPr>
        <w:t>x</w:t>
      </w:r>
      <w:r w:rsidR="00862BD0">
        <w:rPr>
          <w:noProof/>
          <w:position w:val="-10"/>
        </w:rPr>
        <w:drawing>
          <wp:inline distT="0" distB="0" distL="0" distR="0">
            <wp:extent cx="85725" cy="228600"/>
            <wp:effectExtent l="0" t="0" r="9525" b="0"/>
            <wp:docPr id="196" name="Рисунок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t xml:space="preserve"> - результаты, а </w:t>
      </w:r>
      <w:r>
        <w:rPr>
          <w:i/>
          <w:iCs/>
        </w:rPr>
        <w:t>w</w:t>
      </w:r>
      <w:r w:rsidR="00862BD0">
        <w:rPr>
          <w:noProof/>
          <w:position w:val="-10"/>
        </w:rPr>
        <w:drawing>
          <wp:inline distT="0" distB="0" distL="0" distR="0">
            <wp:extent cx="85725" cy="228600"/>
            <wp:effectExtent l="0" t="0" r="9525" b="0"/>
            <wp:docPr id="197" name="Рисунок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t xml:space="preserve"> - вес </w:t>
      </w:r>
      <w:r>
        <w:rPr>
          <w:i/>
          <w:iCs/>
        </w:rPr>
        <w:t>i</w:t>
      </w:r>
      <w:r>
        <w:t xml:space="preserve"> результата. О природе весов не делалось никаких допущений; они могут быть основаны на ряде наблюдений, неопределенности результато</w:t>
      </w:r>
      <w:r>
        <w:t xml:space="preserve">в лабораторий или другой схеме. Это выражение, однако, предполагает, что веса определялись таким образом, что их сумма равна единице. </w:t>
      </w:r>
    </w:p>
    <w:p w:rsidR="00000000" w:rsidRDefault="005829C2">
      <w:pPr>
        <w:pStyle w:val="FORMATTEXT"/>
        <w:ind w:firstLine="568"/>
        <w:jc w:val="both"/>
      </w:pPr>
      <w:r>
        <w:t xml:space="preserve">Если все </w:t>
      </w:r>
      <w:r>
        <w:rPr>
          <w:i/>
          <w:iCs/>
        </w:rPr>
        <w:t>x</w:t>
      </w:r>
      <w:r w:rsidR="00862BD0">
        <w:rPr>
          <w:noProof/>
          <w:position w:val="-10"/>
        </w:rPr>
        <w:drawing>
          <wp:inline distT="0" distB="0" distL="0" distR="0">
            <wp:extent cx="85725" cy="228600"/>
            <wp:effectExtent l="0" t="0" r="9525" b="0"/>
            <wp:docPr id="198" name="Рисунок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t xml:space="preserve"> сопровождаются указанием неопределенности, тогда неопределенность, связанная со значением параметра, может быть выражена в виде:</w:t>
      </w:r>
    </w:p>
    <w:p w:rsidR="00000000" w:rsidRDefault="005829C2">
      <w:pPr>
        <w:pStyle w:val="FORMATTEXT"/>
        <w:ind w:firstLine="568"/>
        <w:jc w:val="both"/>
      </w:pPr>
    </w:p>
    <w:p w:rsidR="00000000" w:rsidRDefault="00862BD0">
      <w:pPr>
        <w:pStyle w:val="FORMATTEXT"/>
        <w:jc w:val="right"/>
      </w:pPr>
      <w:r>
        <w:rPr>
          <w:noProof/>
          <w:position w:val="-11"/>
        </w:rPr>
        <w:lastRenderedPageBreak/>
        <w:drawing>
          <wp:inline distT="0" distB="0" distL="0" distR="0">
            <wp:extent cx="1676400" cy="266700"/>
            <wp:effectExtent l="0" t="0" r="0" b="0"/>
            <wp:docPr id="199" name="Рисунок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676400" cy="266700"/>
                    </a:xfrm>
                    <a:prstGeom prst="rect">
                      <a:avLst/>
                    </a:prstGeom>
                    <a:noFill/>
                    <a:ln>
                      <a:noFill/>
                    </a:ln>
                  </pic:spPr>
                </pic:pic>
              </a:graphicData>
            </a:graphic>
          </wp:inline>
        </w:drawing>
      </w:r>
      <w:r w:rsidR="005829C2">
        <w:t>                                              (34)</w:t>
      </w:r>
    </w:p>
    <w:p w:rsidR="00000000" w:rsidRDefault="005829C2">
      <w:pPr>
        <w:pStyle w:val="FORMATTEXT"/>
        <w:jc w:val="both"/>
      </w:pPr>
      <w:r>
        <w:t xml:space="preserve">при </w:t>
      </w:r>
      <w:r>
        <w:t xml:space="preserve">условии, что все </w:t>
      </w:r>
      <w:r>
        <w:rPr>
          <w:i/>
          <w:iCs/>
        </w:rPr>
        <w:t>x</w:t>
      </w:r>
      <w:r w:rsidR="00862BD0">
        <w:rPr>
          <w:noProof/>
          <w:position w:val="-10"/>
        </w:rPr>
        <w:drawing>
          <wp:inline distT="0" distB="0" distL="0" distR="0">
            <wp:extent cx="85725" cy="228600"/>
            <wp:effectExtent l="0" t="0" r="9525" b="0"/>
            <wp:docPr id="200" name="Рисунок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t xml:space="preserve"> взаимно независимы. Этот основной метод можно также применить к подходам, изложенным в 10.4. При использовании установленных неопределенностей их необходимо проверять на достоверность (см. также 10.6.1)</w:t>
      </w:r>
      <w:r>
        <w:t xml:space="preserve">. Если данные о неопределенности отсутствуют, расчет среднего средних значений (см. 10.5.2 и 10.6.2) можно использовать как оценку неопределенности. </w:t>
      </w:r>
    </w:p>
    <w:p w:rsidR="00000000" w:rsidRDefault="005829C2">
      <w:pPr>
        <w:pStyle w:val="HEADERTEXT"/>
        <w:rPr>
          <w:b/>
          <w:bCs/>
          <w:color w:val="000001"/>
        </w:rPr>
      </w:pPr>
    </w:p>
    <w:p w:rsidR="00000000" w:rsidRDefault="005829C2">
      <w:pPr>
        <w:pStyle w:val="HEADERTEXT"/>
        <w:jc w:val="both"/>
        <w:rPr>
          <w:b/>
          <w:bCs/>
          <w:color w:val="000001"/>
        </w:rPr>
      </w:pPr>
      <w:r>
        <w:rPr>
          <w:b/>
          <w:bCs/>
          <w:color w:val="000001"/>
        </w:rPr>
        <w:t xml:space="preserve">      11 Сертификация (аттестация) </w:t>
      </w:r>
    </w:p>
    <w:p w:rsidR="00000000" w:rsidRDefault="005829C2">
      <w:pPr>
        <w:pStyle w:val="FORMATTEXT"/>
        <w:ind w:firstLine="568"/>
        <w:jc w:val="both"/>
      </w:pPr>
      <w:r>
        <w:t>Понятие ССО (ACO) введено как особый вид СО. В дополнение к характери</w:t>
      </w:r>
      <w:r>
        <w:t xml:space="preserve">стикам СО, определенным в ISO </w:t>
      </w:r>
      <w:proofErr w:type="spellStart"/>
      <w:r>
        <w:t>Guide</w:t>
      </w:r>
      <w:proofErr w:type="spellEnd"/>
      <w:r>
        <w:t xml:space="preserve"> 31, к ССО (АСО) прилагается сертификат (паспорт), как указано в ISO </w:t>
      </w:r>
      <w:proofErr w:type="spellStart"/>
      <w:r>
        <w:t>Guide</w:t>
      </w:r>
      <w:proofErr w:type="spellEnd"/>
      <w:r>
        <w:t xml:space="preserve"> 31, содержащий в том числе следующую информацию:</w:t>
      </w:r>
    </w:p>
    <w:p w:rsidR="00000000" w:rsidRDefault="005829C2">
      <w:pPr>
        <w:pStyle w:val="FORMATTEXT"/>
        <w:ind w:firstLine="568"/>
        <w:jc w:val="both"/>
      </w:pPr>
    </w:p>
    <w:p w:rsidR="00000000" w:rsidRDefault="005829C2">
      <w:pPr>
        <w:pStyle w:val="FORMATTEXT"/>
        <w:ind w:firstLine="568"/>
        <w:jc w:val="both"/>
      </w:pPr>
      <w:r>
        <w:t>- исследуемые параметры;</w:t>
      </w:r>
    </w:p>
    <w:p w:rsidR="00000000" w:rsidRDefault="005829C2">
      <w:pPr>
        <w:pStyle w:val="FORMATTEXT"/>
        <w:ind w:firstLine="568"/>
        <w:jc w:val="both"/>
      </w:pPr>
    </w:p>
    <w:p w:rsidR="00000000" w:rsidRDefault="005829C2">
      <w:pPr>
        <w:pStyle w:val="FORMATTEXT"/>
        <w:ind w:firstLine="568"/>
        <w:jc w:val="both"/>
      </w:pPr>
      <w:r>
        <w:t>- их значения;</w:t>
      </w:r>
    </w:p>
    <w:p w:rsidR="00000000" w:rsidRDefault="005829C2">
      <w:pPr>
        <w:pStyle w:val="FORMATTEXT"/>
        <w:ind w:firstLine="568"/>
        <w:jc w:val="both"/>
      </w:pPr>
    </w:p>
    <w:p w:rsidR="00000000" w:rsidRDefault="005829C2">
      <w:pPr>
        <w:pStyle w:val="FORMATTEXT"/>
        <w:ind w:firstLine="568"/>
        <w:jc w:val="both"/>
      </w:pPr>
      <w:r>
        <w:t>- их неопределенности;</w:t>
      </w:r>
    </w:p>
    <w:p w:rsidR="00000000" w:rsidRDefault="005829C2">
      <w:pPr>
        <w:pStyle w:val="FORMATTEXT"/>
        <w:ind w:firstLine="568"/>
        <w:jc w:val="both"/>
      </w:pPr>
    </w:p>
    <w:p w:rsidR="00000000" w:rsidRDefault="005829C2">
      <w:pPr>
        <w:pStyle w:val="FORMATTEXT"/>
        <w:ind w:firstLine="568"/>
        <w:jc w:val="both"/>
      </w:pPr>
      <w:r>
        <w:t xml:space="preserve">- указание о метрологической </w:t>
      </w:r>
      <w:proofErr w:type="spellStart"/>
      <w:r>
        <w:t>п</w:t>
      </w:r>
      <w:r>
        <w:t>рослеживаемости</w:t>
      </w:r>
      <w:proofErr w:type="spellEnd"/>
      <w:r>
        <w:t xml:space="preserve"> значений параметров.</w:t>
      </w:r>
    </w:p>
    <w:p w:rsidR="00000000" w:rsidRDefault="005829C2">
      <w:pPr>
        <w:pStyle w:val="FORMATTEXT"/>
        <w:ind w:firstLine="568"/>
        <w:jc w:val="both"/>
      </w:pPr>
    </w:p>
    <w:p w:rsidR="00000000" w:rsidRDefault="005829C2">
      <w:pPr>
        <w:pStyle w:val="FORMATTEXT"/>
        <w:ind w:firstLine="568"/>
        <w:jc w:val="both"/>
      </w:pPr>
      <w:r>
        <w:t>На рынке имеются СО, к которым прилагается документация, содержащая информацию, аналогичную указанной выше для ССО (АСО), но такая документация не называется "сертификат (паспорт)" в силу юридических или других (не тех</w:t>
      </w:r>
      <w:r>
        <w:t xml:space="preserve">нических) причин. </w:t>
      </w:r>
      <w:proofErr w:type="gramStart"/>
      <w:r>
        <w:t>В связи с тем что</w:t>
      </w:r>
      <w:proofErr w:type="gramEnd"/>
      <w:r>
        <w:t xml:space="preserve"> эти СО должны отвечать тем же требованиям и могут использоваться для тех же целей, что и ССО (АСО), на них также распространяется область применения настоящего стандарта. Подразумевается, что эти СО включены в термин "СС</w:t>
      </w:r>
      <w:r>
        <w:t>О (АСО)". В данном стандарте описан процесс подготовки разрабатываемого СО с тем, чтобы он мог либо проходить сертификацию (аттестацию), либо представляться на рынок как СО с пакетом документации, содержащим, как минимум, вышеуказанную информацию.</w:t>
      </w:r>
    </w:p>
    <w:p w:rsidR="00000000" w:rsidRDefault="005829C2">
      <w:pPr>
        <w:pStyle w:val="FORMATTEXT"/>
        <w:ind w:firstLine="568"/>
        <w:jc w:val="both"/>
      </w:pPr>
    </w:p>
    <w:p w:rsidR="00000000" w:rsidRDefault="005829C2">
      <w:pPr>
        <w:pStyle w:val="FORMATTEXT"/>
        <w:ind w:firstLine="568"/>
        <w:jc w:val="both"/>
      </w:pPr>
      <w:r>
        <w:t>Кроме т</w:t>
      </w:r>
      <w:r>
        <w:t xml:space="preserve">ого, в соответствии с ISO </w:t>
      </w:r>
      <w:proofErr w:type="spellStart"/>
      <w:r>
        <w:t>Guide</w:t>
      </w:r>
      <w:proofErr w:type="spellEnd"/>
      <w:r>
        <w:t xml:space="preserve"> 31 сертификат (паспорт), прилагаемый к ССО (АСО), - это краткое изложение обширной программы работ, включающих выбор материала, оценку его пригодности и измерение параметров, подлежащих сертификации (аттестации). Многим потр</w:t>
      </w:r>
      <w:r>
        <w:t xml:space="preserve">ебителям ССО (АСО) не потребуется дополнительная информация, кроме той, которая содержится в сертификате (паспорте), но она должна быть доступна либо в форме отчета о сертификации (отчета об аттестации) [представляемого вместе с ССО (АСО) или по запросу], </w:t>
      </w:r>
      <w:r>
        <w:t>либо иным способом представляться по запросу в адрес изготовителя. Важно указывать фамилию должностного лица, представляющего орган по сертификации (аттестующий орган) и принимающего ответственность за содержание сертификата (паспорта). Решение о целесообр</w:t>
      </w:r>
      <w:r>
        <w:t>азности подписания сертификата (паспорта) лучше всего оставить на усмотрение органа по сертификации (аттестующего органа).</w:t>
      </w:r>
    </w:p>
    <w:p w:rsidR="00000000" w:rsidRDefault="005829C2">
      <w:pPr>
        <w:pStyle w:val="FORMATTEXT"/>
        <w:ind w:firstLine="568"/>
        <w:jc w:val="both"/>
      </w:pPr>
    </w:p>
    <w:p w:rsidR="00000000" w:rsidRDefault="005829C2">
      <w:pPr>
        <w:pStyle w:val="FORMATTEXT"/>
        <w:jc w:val="center"/>
      </w:pPr>
      <w:r>
        <w:t>Приложение A</w:t>
      </w:r>
    </w:p>
    <w:p w:rsidR="00000000" w:rsidRDefault="005829C2">
      <w:pPr>
        <w:pStyle w:val="FORMATTEXT"/>
        <w:jc w:val="center"/>
      </w:pPr>
      <w:r>
        <w:t xml:space="preserve">(информационное) </w:t>
      </w:r>
    </w:p>
    <w:p w:rsidR="00000000" w:rsidRDefault="005829C2">
      <w:pPr>
        <w:pStyle w:val="HEADERTEXT"/>
        <w:rPr>
          <w:b/>
          <w:bCs/>
          <w:color w:val="000001"/>
        </w:rPr>
      </w:pPr>
    </w:p>
    <w:p w:rsidR="00000000" w:rsidRDefault="005829C2">
      <w:pPr>
        <w:pStyle w:val="HEADERTEXT"/>
        <w:jc w:val="center"/>
        <w:rPr>
          <w:b/>
          <w:bCs/>
          <w:color w:val="000001"/>
        </w:rPr>
      </w:pPr>
      <w:r>
        <w:rPr>
          <w:b/>
          <w:bCs/>
          <w:color w:val="000001"/>
        </w:rPr>
        <w:t xml:space="preserve">      </w:t>
      </w:r>
    </w:p>
    <w:p w:rsidR="00000000" w:rsidRDefault="005829C2">
      <w:pPr>
        <w:pStyle w:val="HEADERTEXT"/>
        <w:jc w:val="center"/>
        <w:rPr>
          <w:b/>
          <w:bCs/>
          <w:color w:val="000001"/>
        </w:rPr>
      </w:pPr>
      <w:r>
        <w:rPr>
          <w:b/>
          <w:bCs/>
          <w:color w:val="000001"/>
        </w:rPr>
        <w:t xml:space="preserve">Статистические подходы </w:t>
      </w:r>
    </w:p>
    <w:p w:rsidR="00000000" w:rsidRDefault="005829C2">
      <w:pPr>
        <w:pStyle w:val="FORMATTEXT"/>
        <w:ind w:firstLine="568"/>
        <w:jc w:val="both"/>
      </w:pPr>
      <w:r>
        <w:rPr>
          <w:b/>
          <w:bCs/>
        </w:rPr>
        <w:t>A.1 Однофакторный дисперсионный анализ (ANOVA)</w:t>
      </w:r>
    </w:p>
    <w:p w:rsidR="00000000" w:rsidRDefault="005829C2">
      <w:pPr>
        <w:pStyle w:val="FORMATTEXT"/>
        <w:ind w:firstLine="568"/>
        <w:jc w:val="both"/>
      </w:pPr>
    </w:p>
    <w:p w:rsidR="00000000" w:rsidRDefault="005829C2">
      <w:pPr>
        <w:pStyle w:val="FORMATTEXT"/>
        <w:ind w:firstLine="568"/>
        <w:jc w:val="both"/>
      </w:pPr>
      <w:r>
        <w:t>Рассмотрен случай, ко</w:t>
      </w:r>
      <w:r>
        <w:t xml:space="preserve">гда имеются </w:t>
      </w:r>
      <w:r w:rsidR="00862BD0">
        <w:rPr>
          <w:noProof/>
          <w:position w:val="-6"/>
        </w:rPr>
        <w:drawing>
          <wp:inline distT="0" distB="0" distL="0" distR="0">
            <wp:extent cx="142875" cy="142875"/>
            <wp:effectExtent l="0" t="0" r="9525" b="9525"/>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t xml:space="preserve">групп и каждая из них содержит </w:t>
      </w:r>
      <w:r>
        <w:rPr>
          <w:i/>
          <w:iCs/>
        </w:rPr>
        <w:t>n</w:t>
      </w:r>
      <w:r w:rsidR="00862BD0">
        <w:rPr>
          <w:noProof/>
          <w:position w:val="-10"/>
        </w:rPr>
        <w:drawing>
          <wp:inline distT="0" distB="0" distL="0" distR="0">
            <wp:extent cx="85725" cy="228600"/>
            <wp:effectExtent l="0" t="0" r="9525" b="0"/>
            <wp:docPr id="20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t xml:space="preserve"> членов. В идеальном случае число членов в группах должно быть равным, но на практике это не всегда имеет место. Некоторые данные могут "отсу</w:t>
      </w:r>
      <w:r>
        <w:t>тствовать", и выражения составлены с учетом этих отсутствующих данных [20], [21] и рекомендованы в дополнение к другим методам обработки неполных наборов данных. Следует отметить, что чем менее полным становится набор данных, тем хуже становится качество о</w:t>
      </w:r>
      <w:r>
        <w:t>ценок.</w:t>
      </w:r>
    </w:p>
    <w:p w:rsidR="00000000" w:rsidRDefault="005829C2">
      <w:pPr>
        <w:pStyle w:val="FORMATTEXT"/>
        <w:ind w:firstLine="568"/>
        <w:jc w:val="both"/>
      </w:pPr>
    </w:p>
    <w:p w:rsidR="00000000" w:rsidRDefault="005829C2">
      <w:pPr>
        <w:pStyle w:val="FORMATTEXT"/>
        <w:ind w:firstLine="568"/>
        <w:jc w:val="both"/>
      </w:pPr>
      <w:r>
        <w:t>Разброс данных можно выразить через суммы квадрата отклонений, известные также как "суммы квадратов". Эти суммы квадратов выражают разброс на разных (иерархических) уровнях в дисперсионном анализе [20]. Так называемые средние квадраты, полученные в</w:t>
      </w:r>
      <w:r>
        <w:t xml:space="preserve"> ходе развернутой программы, можно преобразовать в дисперсии следующим образом:</w:t>
      </w:r>
    </w:p>
    <w:p w:rsidR="00000000" w:rsidRDefault="005829C2">
      <w:pPr>
        <w:pStyle w:val="FORMATTEXT"/>
        <w:ind w:firstLine="568"/>
        <w:jc w:val="both"/>
      </w:pPr>
    </w:p>
    <w:p w:rsidR="00000000" w:rsidRDefault="00862BD0">
      <w:pPr>
        <w:pStyle w:val="FORMATTEXT"/>
        <w:jc w:val="right"/>
      </w:pPr>
      <w:r>
        <w:rPr>
          <w:noProof/>
          <w:position w:val="-11"/>
        </w:rPr>
        <w:drawing>
          <wp:inline distT="0" distB="0" distL="0" distR="0">
            <wp:extent cx="1095375" cy="266700"/>
            <wp:effectExtent l="0" t="0" r="9525" b="0"/>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095375" cy="266700"/>
                    </a:xfrm>
                    <a:prstGeom prst="rect">
                      <a:avLst/>
                    </a:prstGeom>
                    <a:noFill/>
                    <a:ln>
                      <a:noFill/>
                    </a:ln>
                  </pic:spPr>
                </pic:pic>
              </a:graphicData>
            </a:graphic>
          </wp:inline>
        </w:drawing>
      </w:r>
      <w:r w:rsidR="005829C2">
        <w:t xml:space="preserve">                                                       (A.1) </w:t>
      </w:r>
    </w:p>
    <w:p w:rsidR="00000000" w:rsidRDefault="005829C2">
      <w:pPr>
        <w:pStyle w:val="FORMATTEXT"/>
        <w:jc w:val="right"/>
      </w:pPr>
      <w:r>
        <w:t>     </w:t>
      </w:r>
    </w:p>
    <w:p w:rsidR="00000000" w:rsidRDefault="00862BD0">
      <w:pPr>
        <w:pStyle w:val="FORMATTEXT"/>
        <w:jc w:val="right"/>
      </w:pPr>
      <w:r>
        <w:rPr>
          <w:noProof/>
          <w:position w:val="-19"/>
        </w:rPr>
        <w:lastRenderedPageBreak/>
        <w:drawing>
          <wp:inline distT="0" distB="0" distL="0" distR="0">
            <wp:extent cx="1571625" cy="457200"/>
            <wp:effectExtent l="0" t="0" r="9525" b="0"/>
            <wp:docPr id="204"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571625" cy="457200"/>
                    </a:xfrm>
                    <a:prstGeom prst="rect">
                      <a:avLst/>
                    </a:prstGeom>
                    <a:noFill/>
                    <a:ln>
                      <a:noFill/>
                    </a:ln>
                  </pic:spPr>
                </pic:pic>
              </a:graphicData>
            </a:graphic>
          </wp:inline>
        </w:drawing>
      </w:r>
      <w:r w:rsidR="005829C2">
        <w:t>,                                  </w:t>
      </w:r>
      <w:r w:rsidR="005829C2">
        <w:t xml:space="preserve">                (А.2) </w:t>
      </w:r>
    </w:p>
    <w:p w:rsidR="00000000" w:rsidRDefault="005829C2">
      <w:pPr>
        <w:pStyle w:val="FORMATTEXT"/>
        <w:jc w:val="both"/>
      </w:pPr>
    </w:p>
    <w:p w:rsidR="00000000" w:rsidRDefault="005829C2">
      <w:pPr>
        <w:pStyle w:val="FORMATTEXT"/>
        <w:jc w:val="both"/>
      </w:pPr>
    </w:p>
    <w:p w:rsidR="00000000" w:rsidRDefault="005829C2">
      <w:pPr>
        <w:pStyle w:val="FORMATTEXT"/>
        <w:jc w:val="both"/>
      </w:pPr>
      <w:r>
        <w:t xml:space="preserve">где </w:t>
      </w:r>
    </w:p>
    <w:p w:rsidR="00000000" w:rsidRDefault="00862BD0">
      <w:pPr>
        <w:pStyle w:val="FORMATTEXT"/>
        <w:jc w:val="right"/>
      </w:pPr>
      <w:r>
        <w:rPr>
          <w:noProof/>
          <w:position w:val="-35"/>
        </w:rPr>
        <w:drawing>
          <wp:inline distT="0" distB="0" distL="0" distR="0">
            <wp:extent cx="1552575" cy="885825"/>
            <wp:effectExtent l="0" t="0" r="9525" b="9525"/>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552575" cy="885825"/>
                    </a:xfrm>
                    <a:prstGeom prst="rect">
                      <a:avLst/>
                    </a:prstGeom>
                    <a:noFill/>
                    <a:ln>
                      <a:noFill/>
                    </a:ln>
                  </pic:spPr>
                </pic:pic>
              </a:graphicData>
            </a:graphic>
          </wp:inline>
        </w:drawing>
      </w:r>
      <w:r w:rsidR="005829C2">
        <w:t xml:space="preserve">.                                                  (А.3) </w:t>
      </w:r>
    </w:p>
    <w:p w:rsidR="00000000" w:rsidRDefault="005829C2">
      <w:pPr>
        <w:pStyle w:val="FORMATTEXT"/>
        <w:ind w:firstLine="568"/>
        <w:jc w:val="both"/>
      </w:pPr>
      <w:r>
        <w:t xml:space="preserve">Если отсутствующих данных нет, </w:t>
      </w:r>
      <w:r>
        <w:rPr>
          <w:i/>
          <w:iCs/>
        </w:rPr>
        <w:t>n</w:t>
      </w:r>
      <w:r w:rsidR="00862BD0">
        <w:rPr>
          <w:noProof/>
          <w:position w:val="-10"/>
        </w:rPr>
        <w:drawing>
          <wp:inline distT="0" distB="0" distL="0" distR="0">
            <wp:extent cx="104775" cy="228600"/>
            <wp:effectExtent l="0" t="0" r="9525" b="0"/>
            <wp:docPr id="206" name="Рисунок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775" cy="228600"/>
                    </a:xfrm>
                    <a:prstGeom prst="rect">
                      <a:avLst/>
                    </a:prstGeom>
                    <a:noFill/>
                    <a:ln>
                      <a:noFill/>
                    </a:ln>
                  </pic:spPr>
                </pic:pic>
              </a:graphicData>
            </a:graphic>
          </wp:inline>
        </w:drawing>
      </w:r>
      <w:r>
        <w:t xml:space="preserve"> становится равным </w:t>
      </w:r>
      <w:r>
        <w:rPr>
          <w:i/>
          <w:iCs/>
        </w:rPr>
        <w:t>n.</w:t>
      </w:r>
      <w:r>
        <w:t xml:space="preserve"> Представленный механизм позволяет приписать</w:t>
      </w:r>
      <w:r>
        <w:t xml:space="preserve"> разброс в измерениях различным составляющим неопределенности, влияющим на материал и измерительный процесс. При отсутствии каких-либо влияний между группами ожидается, что </w:t>
      </w:r>
      <w:r>
        <w:rPr>
          <w:i/>
          <w:iCs/>
        </w:rPr>
        <w:t>s</w:t>
      </w:r>
      <w:r w:rsidR="00862BD0">
        <w:rPr>
          <w:noProof/>
          <w:position w:val="-11"/>
        </w:rPr>
        <w:drawing>
          <wp:inline distT="0" distB="0" distL="0" distR="0">
            <wp:extent cx="123825" cy="257175"/>
            <wp:effectExtent l="0" t="0" r="9525" b="9525"/>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23825" cy="257175"/>
                    </a:xfrm>
                    <a:prstGeom prst="rect">
                      <a:avLst/>
                    </a:prstGeom>
                    <a:noFill/>
                    <a:ln>
                      <a:noFill/>
                    </a:ln>
                  </pic:spPr>
                </pic:pic>
              </a:graphicData>
            </a:graphic>
          </wp:inline>
        </w:drawing>
      </w:r>
      <w:r>
        <w:t xml:space="preserve"> равно (близко) нулю. Если в силу причин, связа</w:t>
      </w:r>
      <w:r>
        <w:t xml:space="preserve">нных с экспериментом, для </w:t>
      </w:r>
      <w:r>
        <w:rPr>
          <w:i/>
          <w:iCs/>
        </w:rPr>
        <w:t>s</w:t>
      </w:r>
      <w:r w:rsidR="00862BD0">
        <w:rPr>
          <w:noProof/>
          <w:position w:val="-11"/>
        </w:rPr>
        <w:drawing>
          <wp:inline distT="0" distB="0" distL="0" distR="0">
            <wp:extent cx="123825" cy="257175"/>
            <wp:effectExtent l="0" t="0" r="9525" b="9525"/>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23825" cy="257175"/>
                    </a:xfrm>
                    <a:prstGeom prst="rect">
                      <a:avLst/>
                    </a:prstGeom>
                    <a:noFill/>
                    <a:ln>
                      <a:noFill/>
                    </a:ln>
                  </pic:spPr>
                </pic:pic>
              </a:graphicData>
            </a:graphic>
          </wp:inline>
        </w:drawing>
      </w:r>
      <w:r>
        <w:t xml:space="preserve"> получено слегка отрицательное значение, оно принимается за нуль.</w:t>
      </w:r>
    </w:p>
    <w:p w:rsidR="00000000" w:rsidRDefault="005829C2">
      <w:pPr>
        <w:pStyle w:val="FORMATTEXT"/>
        <w:ind w:firstLine="568"/>
        <w:jc w:val="both"/>
      </w:pPr>
    </w:p>
    <w:p w:rsidR="00000000" w:rsidRDefault="005829C2">
      <w:pPr>
        <w:pStyle w:val="FORMATTEXT"/>
        <w:ind w:firstLine="568"/>
        <w:jc w:val="both"/>
      </w:pPr>
      <w:r>
        <w:rPr>
          <w:b/>
          <w:bCs/>
          <w:i/>
          <w:iCs/>
        </w:rPr>
        <w:t>Пример</w:t>
      </w:r>
      <w:r>
        <w:t xml:space="preserve"> - </w:t>
      </w:r>
      <w:r>
        <w:rPr>
          <w:b/>
          <w:bCs/>
          <w:i/>
          <w:iCs/>
        </w:rPr>
        <w:t>При исследовании однородности между экземплярами s</w:t>
      </w:r>
      <w:r w:rsidR="00862BD0">
        <w:rPr>
          <w:noProof/>
          <w:position w:val="-9"/>
        </w:rPr>
        <w:drawing>
          <wp:inline distT="0" distB="0" distL="0" distR="0">
            <wp:extent cx="123825" cy="219075"/>
            <wp:effectExtent l="0" t="0" r="9525" b="9525"/>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t xml:space="preserve"> </w:t>
      </w:r>
      <w:r>
        <w:rPr>
          <w:b/>
          <w:bCs/>
          <w:i/>
          <w:iCs/>
        </w:rPr>
        <w:t>идентично стандартному отклоне</w:t>
      </w:r>
      <w:r>
        <w:rPr>
          <w:b/>
          <w:bCs/>
          <w:i/>
          <w:iCs/>
        </w:rPr>
        <w:t>нию между экземплярами s</w:t>
      </w:r>
      <w:r w:rsidR="00862BD0">
        <w:rPr>
          <w:noProof/>
          <w:position w:val="-10"/>
        </w:rPr>
        <w:drawing>
          <wp:inline distT="0" distB="0" distL="0" distR="0">
            <wp:extent cx="161925" cy="228600"/>
            <wp:effectExtent l="0" t="0" r="9525" b="0"/>
            <wp:docPr id="210" name="Рисунок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Pr>
          <w:b/>
          <w:bCs/>
          <w:i/>
          <w:iCs/>
        </w:rPr>
        <w:t>. Каждый экземпляр рассматривается как группа.</w:t>
      </w:r>
    </w:p>
    <w:p w:rsidR="00000000" w:rsidRDefault="005829C2">
      <w:pPr>
        <w:pStyle w:val="FORMATTEXT"/>
        <w:ind w:firstLine="568"/>
        <w:jc w:val="both"/>
      </w:pPr>
    </w:p>
    <w:p w:rsidR="00000000" w:rsidRDefault="005829C2">
      <w:pPr>
        <w:pStyle w:val="FORMATTEXT"/>
        <w:ind w:firstLine="568"/>
        <w:jc w:val="both"/>
      </w:pPr>
      <w:r>
        <w:rPr>
          <w:b/>
          <w:bCs/>
        </w:rPr>
        <w:t>A.2 Случайные эффекты иерархического эксперимента: двухфакторный ANOVA</w:t>
      </w:r>
    </w:p>
    <w:p w:rsidR="00000000" w:rsidRDefault="005829C2">
      <w:pPr>
        <w:pStyle w:val="FORMATTEXT"/>
        <w:ind w:firstLine="568"/>
        <w:jc w:val="both"/>
      </w:pPr>
    </w:p>
    <w:p w:rsidR="00000000" w:rsidRDefault="005829C2">
      <w:pPr>
        <w:pStyle w:val="FORMATTEXT"/>
        <w:ind w:firstLine="568"/>
        <w:jc w:val="both"/>
      </w:pPr>
      <w:r>
        <w:t>Эту модель применяют при использовании результатов измерительной кампании для</w:t>
      </w:r>
      <w:r>
        <w:t xml:space="preserve"> подтверждения однородности, а также для </w:t>
      </w:r>
      <w:proofErr w:type="spellStart"/>
      <w:r>
        <w:t>характеризации</w:t>
      </w:r>
      <w:proofErr w:type="spellEnd"/>
      <w:r>
        <w:t xml:space="preserve"> материала. Эта схема эксперимента проиллюстрирована на рисунке А.1 для конкретного случая межлабораторных исследований. Если измерительная кампания состоит из нескольких методов, план кампании остаетс</w:t>
      </w:r>
      <w:r>
        <w:t>я, в сущности, одним и тем же.</w:t>
      </w:r>
    </w:p>
    <w:p w:rsidR="00000000" w:rsidRDefault="005829C2">
      <w:pPr>
        <w:pStyle w:val="FORMATTEXT"/>
        <w:ind w:firstLine="568"/>
        <w:jc w:val="both"/>
      </w:pPr>
    </w:p>
    <w:p w:rsidR="00000000" w:rsidRDefault="005829C2">
      <w:pPr>
        <w:pStyle w:val="FORMATTEXT"/>
        <w:ind w:firstLine="568"/>
        <w:jc w:val="both"/>
      </w:pPr>
      <w:r>
        <w:t>Результаты можно выразить в виде уравнения:</w:t>
      </w:r>
    </w:p>
    <w:p w:rsidR="00000000" w:rsidRDefault="005829C2">
      <w:pPr>
        <w:pStyle w:val="FORMATTEXT"/>
        <w:ind w:firstLine="568"/>
        <w:jc w:val="both"/>
      </w:pPr>
    </w:p>
    <w:p w:rsidR="00000000" w:rsidRDefault="00862BD0">
      <w:pPr>
        <w:pStyle w:val="FORMATTEXT"/>
        <w:jc w:val="right"/>
      </w:pPr>
      <w:r>
        <w:rPr>
          <w:noProof/>
          <w:position w:val="-10"/>
        </w:rPr>
        <w:drawing>
          <wp:inline distT="0" distB="0" distL="0" distR="0">
            <wp:extent cx="1419225" cy="238125"/>
            <wp:effectExtent l="0" t="0" r="9525" b="9525"/>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419225" cy="238125"/>
                    </a:xfrm>
                    <a:prstGeom prst="rect">
                      <a:avLst/>
                    </a:prstGeom>
                    <a:noFill/>
                    <a:ln>
                      <a:noFill/>
                    </a:ln>
                  </pic:spPr>
                </pic:pic>
              </a:graphicData>
            </a:graphic>
          </wp:inline>
        </w:drawing>
      </w:r>
      <w:r w:rsidR="005829C2">
        <w:t xml:space="preserve">,                                                    (А.4)* </w:t>
      </w:r>
    </w:p>
    <w:p w:rsidR="00000000" w:rsidRDefault="005829C2">
      <w:pPr>
        <w:pStyle w:val="FORMATTEXT"/>
        <w:jc w:val="both"/>
      </w:pPr>
    </w:p>
    <w:p w:rsidR="00000000" w:rsidRDefault="005829C2">
      <w:pPr>
        <w:pStyle w:val="FORMATTEXT"/>
        <w:jc w:val="both"/>
      </w:pPr>
    </w:p>
    <w:p w:rsidR="00000000" w:rsidRDefault="005829C2">
      <w:pPr>
        <w:pStyle w:val="FORMATTEXT"/>
        <w:jc w:val="both"/>
      </w:pPr>
      <w:r>
        <w:t xml:space="preserve">где </w:t>
      </w:r>
      <w:r>
        <w:rPr>
          <w:i/>
          <w:iCs/>
        </w:rPr>
        <w:t>х</w:t>
      </w:r>
      <w:r w:rsidR="00862BD0">
        <w:rPr>
          <w:noProof/>
          <w:position w:val="-10"/>
        </w:rPr>
        <w:drawing>
          <wp:inline distT="0" distB="0" distL="0" distR="0">
            <wp:extent cx="161925" cy="238125"/>
            <wp:effectExtent l="0" t="0" r="9525" b="9525"/>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161925" cy="238125"/>
                    </a:xfrm>
                    <a:prstGeom prst="rect">
                      <a:avLst/>
                    </a:prstGeom>
                    <a:noFill/>
                    <a:ln>
                      <a:noFill/>
                    </a:ln>
                  </pic:spPr>
                </pic:pic>
              </a:graphicData>
            </a:graphic>
          </wp:inline>
        </w:drawing>
      </w:r>
      <w:r>
        <w:t xml:space="preserve"> - </w:t>
      </w:r>
      <w:r>
        <w:rPr>
          <w:i/>
          <w:iCs/>
        </w:rPr>
        <w:t>k</w:t>
      </w:r>
      <w:r>
        <w:t xml:space="preserve"> результат экземпляра образца </w:t>
      </w:r>
      <w:r>
        <w:rPr>
          <w:i/>
          <w:iCs/>
        </w:rPr>
        <w:t>j,</w:t>
      </w:r>
      <w:r>
        <w:t xml:space="preserve"> представленный методом/лабораторией </w:t>
      </w:r>
      <w:r>
        <w:rPr>
          <w:i/>
          <w:iCs/>
        </w:rPr>
        <w:t>i</w:t>
      </w:r>
      <w:r>
        <w:t>;</w:t>
      </w:r>
    </w:p>
    <w:p w:rsidR="00000000" w:rsidRDefault="005829C2">
      <w:pPr>
        <w:pStyle w:val="FORMATTEXT"/>
        <w:ind w:firstLine="568"/>
        <w:jc w:val="both"/>
      </w:pPr>
      <w:r>
        <w:rPr>
          <w:i/>
          <w:iCs/>
        </w:rPr>
        <w:t>A</w:t>
      </w:r>
      <w:r w:rsidR="00862BD0">
        <w:rPr>
          <w:noProof/>
          <w:position w:val="-10"/>
        </w:rPr>
        <w:drawing>
          <wp:inline distT="0" distB="0" distL="0" distR="0">
            <wp:extent cx="85725" cy="228600"/>
            <wp:effectExtent l="0" t="0" r="9525" b="0"/>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t xml:space="preserve"> - погрешность метода/лаборатории </w:t>
      </w:r>
      <w:r>
        <w:rPr>
          <w:i/>
          <w:iCs/>
        </w:rPr>
        <w:t>i</w:t>
      </w:r>
      <w:r>
        <w:t>;</w:t>
      </w:r>
    </w:p>
    <w:p w:rsidR="00000000" w:rsidRDefault="005829C2">
      <w:pPr>
        <w:pStyle w:val="FORMATTEXT"/>
        <w:ind w:firstLine="568"/>
        <w:jc w:val="both"/>
      </w:pPr>
    </w:p>
    <w:p w:rsidR="00000000" w:rsidRDefault="005829C2">
      <w:pPr>
        <w:pStyle w:val="FORMATTEXT"/>
        <w:ind w:firstLine="568"/>
        <w:jc w:val="both"/>
      </w:pPr>
      <w:r>
        <w:rPr>
          <w:i/>
          <w:iCs/>
        </w:rPr>
        <w:t>B</w:t>
      </w:r>
      <w:r w:rsidR="00862BD0">
        <w:rPr>
          <w:noProof/>
          <w:position w:val="-10"/>
        </w:rPr>
        <w:drawing>
          <wp:inline distT="0" distB="0" distL="0" distR="0">
            <wp:extent cx="114300" cy="238125"/>
            <wp:effectExtent l="0" t="0" r="0" b="9525"/>
            <wp:docPr id="214" name="Рисунок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14300" cy="238125"/>
                    </a:xfrm>
                    <a:prstGeom prst="rect">
                      <a:avLst/>
                    </a:prstGeom>
                    <a:noFill/>
                    <a:ln>
                      <a:noFill/>
                    </a:ln>
                  </pic:spPr>
                </pic:pic>
              </a:graphicData>
            </a:graphic>
          </wp:inline>
        </w:drawing>
      </w:r>
      <w:r>
        <w:t xml:space="preserve"> - погрешность </w:t>
      </w:r>
      <w:r>
        <w:rPr>
          <w:i/>
          <w:iCs/>
        </w:rPr>
        <w:t>j</w:t>
      </w:r>
      <w:r>
        <w:t xml:space="preserve"> испытуемой пробы в</w:t>
      </w:r>
      <w:r>
        <w:t xml:space="preserve">нутри метода/лаборатории </w:t>
      </w:r>
      <w:r>
        <w:rPr>
          <w:i/>
          <w:iCs/>
        </w:rPr>
        <w:t>i;</w:t>
      </w:r>
    </w:p>
    <w:p w:rsidR="00000000" w:rsidRDefault="005829C2">
      <w:pPr>
        <w:pStyle w:val="FORMATTEXT"/>
        <w:ind w:firstLine="568"/>
        <w:jc w:val="both"/>
      </w:pPr>
    </w:p>
    <w:p w:rsidR="00000000" w:rsidRDefault="00862BD0">
      <w:pPr>
        <w:pStyle w:val="FORMATTEXT"/>
        <w:ind w:firstLine="568"/>
        <w:jc w:val="both"/>
      </w:pPr>
      <w:r>
        <w:rPr>
          <w:noProof/>
          <w:position w:val="-7"/>
        </w:rPr>
        <w:drawing>
          <wp:inline distT="0" distB="0" distL="0" distR="0">
            <wp:extent cx="200025" cy="161925"/>
            <wp:effectExtent l="0" t="0" r="9525" b="9525"/>
            <wp:docPr id="215" name="Рисунок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200025" cy="161925"/>
                    </a:xfrm>
                    <a:prstGeom prst="rect">
                      <a:avLst/>
                    </a:prstGeom>
                    <a:noFill/>
                    <a:ln>
                      <a:noFill/>
                    </a:ln>
                  </pic:spPr>
                </pic:pic>
              </a:graphicData>
            </a:graphic>
          </wp:inline>
        </w:drawing>
      </w:r>
      <w:r w:rsidR="005829C2">
        <w:t xml:space="preserve">- погрешность измерений. </w:t>
      </w:r>
    </w:p>
    <w:p w:rsidR="00000000" w:rsidRDefault="005829C2">
      <w:pPr>
        <w:pStyle w:val="FORMATTEXT"/>
        <w:jc w:val="both"/>
      </w:pPr>
      <w:r>
        <w:t xml:space="preserve">______________ </w:t>
      </w:r>
    </w:p>
    <w:p w:rsidR="00000000" w:rsidRDefault="005829C2">
      <w:pPr>
        <w:pStyle w:val="FORMATTEXT"/>
      </w:pPr>
      <w:r>
        <w:t xml:space="preserve">     * Формула и экспликация к ней соответствуют оригиналу. - Примечание изготовителя базы данных. </w:t>
      </w:r>
    </w:p>
    <w:p w:rsidR="00000000" w:rsidRDefault="005829C2">
      <w:pPr>
        <w:pStyle w:val="FORMATTEXT"/>
      </w:pPr>
      <w:r>
        <w:t xml:space="preserve">      </w:t>
      </w:r>
    </w:p>
    <w:p w:rsidR="00000000" w:rsidRDefault="005829C2">
      <w:pPr>
        <w:pStyle w:val="FORMATTEXT"/>
        <w:ind w:firstLine="568"/>
        <w:jc w:val="both"/>
      </w:pPr>
      <w:r>
        <w:t xml:space="preserve">Оцениваемыми параметрами являются среднее </w:t>
      </w:r>
      <w:r>
        <w:t xml:space="preserve">по совокупности межлабораторное стандартное отклонение </w:t>
      </w:r>
      <w:r>
        <w:rPr>
          <w:i/>
          <w:iCs/>
        </w:rPr>
        <w:t>s</w:t>
      </w:r>
      <w:r w:rsidR="00862BD0">
        <w:rPr>
          <w:noProof/>
          <w:position w:val="-9"/>
        </w:rPr>
        <w:drawing>
          <wp:inline distT="0" distB="0" distL="0" distR="0">
            <wp:extent cx="114300" cy="219075"/>
            <wp:effectExtent l="0" t="0" r="0" b="9525"/>
            <wp:docPr id="216" name="Рисунок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r>
        <w:rPr>
          <w:i/>
          <w:iCs/>
        </w:rPr>
        <w:t>,</w:t>
      </w:r>
      <w:r>
        <w:t xml:space="preserve"> стандартное отклонение между экземплярами </w:t>
      </w:r>
      <w:r>
        <w:rPr>
          <w:i/>
          <w:iCs/>
        </w:rPr>
        <w:t>s</w:t>
      </w:r>
      <w:r w:rsidR="00862BD0">
        <w:rPr>
          <w:noProof/>
          <w:position w:val="-10"/>
        </w:rPr>
        <w:drawing>
          <wp:inline distT="0" distB="0" distL="0" distR="0">
            <wp:extent cx="161925" cy="228600"/>
            <wp:effectExtent l="0" t="0" r="9525" b="0"/>
            <wp:docPr id="217" name="Рисунок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и стандартное отклонение повторяемости </w:t>
      </w:r>
      <w:r>
        <w:rPr>
          <w:i/>
          <w:iCs/>
        </w:rPr>
        <w:t>s</w:t>
      </w:r>
      <w:r w:rsidR="00862BD0">
        <w:rPr>
          <w:noProof/>
          <w:position w:val="-9"/>
        </w:rPr>
        <w:drawing>
          <wp:inline distT="0" distB="0" distL="0" distR="0">
            <wp:extent cx="104775" cy="219075"/>
            <wp:effectExtent l="0" t="0" r="9525" b="9525"/>
            <wp:docPr id="218" name="Рисунок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Pr>
          <w:i/>
          <w:iCs/>
        </w:rPr>
        <w:t>.</w:t>
      </w:r>
      <w:r>
        <w:t xml:space="preserve"> Они свя</w:t>
      </w:r>
      <w:r>
        <w:t>заны с остаточными членами следующим образом:</w:t>
      </w:r>
    </w:p>
    <w:p w:rsidR="00000000" w:rsidRDefault="005829C2">
      <w:pPr>
        <w:pStyle w:val="FORMATTEXT"/>
        <w:ind w:firstLine="568"/>
        <w:jc w:val="both"/>
      </w:pPr>
    </w:p>
    <w:p w:rsidR="00000000" w:rsidRDefault="00862BD0">
      <w:pPr>
        <w:pStyle w:val="FORMATTEXT"/>
        <w:jc w:val="right"/>
      </w:pPr>
      <w:r>
        <w:rPr>
          <w:noProof/>
          <w:position w:val="-49"/>
        </w:rPr>
        <w:drawing>
          <wp:inline distT="0" distB="0" distL="0" distR="0">
            <wp:extent cx="1000125" cy="1219200"/>
            <wp:effectExtent l="0" t="0" r="9525" b="0"/>
            <wp:docPr id="219" name="Рисунок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000125" cy="1219200"/>
                    </a:xfrm>
                    <a:prstGeom prst="rect">
                      <a:avLst/>
                    </a:prstGeom>
                    <a:noFill/>
                    <a:ln>
                      <a:noFill/>
                    </a:ln>
                  </pic:spPr>
                </pic:pic>
              </a:graphicData>
            </a:graphic>
          </wp:inline>
        </w:drawing>
      </w:r>
      <w:r w:rsidR="005829C2">
        <w:t xml:space="preserve">                                                        (А.5) </w:t>
      </w:r>
    </w:p>
    <w:p w:rsidR="00000000" w:rsidRDefault="005829C2">
      <w:pPr>
        <w:pStyle w:val="FORMATTEXT"/>
        <w:ind w:firstLine="568"/>
        <w:jc w:val="both"/>
      </w:pPr>
      <w:r>
        <w:lastRenderedPageBreak/>
        <w:t>Для </w:t>
      </w:r>
      <w:proofErr w:type="spellStart"/>
      <w:r>
        <w:t>межэкземплярной</w:t>
      </w:r>
      <w:proofErr w:type="spellEnd"/>
      <w:r>
        <w:t xml:space="preserve"> однородности </w:t>
      </w:r>
      <w:r>
        <w:rPr>
          <w:i/>
          <w:iCs/>
        </w:rPr>
        <w:t>s</w:t>
      </w:r>
      <w:r w:rsidR="00862BD0">
        <w:rPr>
          <w:noProof/>
          <w:position w:val="-10"/>
        </w:rPr>
        <w:drawing>
          <wp:inline distT="0" distB="0" distL="0" distR="0">
            <wp:extent cx="161925" cy="228600"/>
            <wp:effectExtent l="0" t="0" r="9525" b="0"/>
            <wp:docPr id="220" name="Рисунок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справедливы те же самые соображения отно</w:t>
      </w:r>
      <w:r>
        <w:t>сительно неспособности обнаружить неоднородность партии, что и для самого исследования однородности (см. 7.9).</w:t>
      </w:r>
    </w:p>
    <w:p w:rsidR="00000000" w:rsidRDefault="005829C2">
      <w:pPr>
        <w:pStyle w:val="FORMATTEXT"/>
        <w:ind w:firstLine="568"/>
        <w:jc w:val="both"/>
      </w:pPr>
    </w:p>
    <w:p w:rsidR="00000000" w:rsidRDefault="005829C2">
      <w:pPr>
        <w:pStyle w:val="FORMATTEXT"/>
        <w:ind w:firstLine="568"/>
        <w:jc w:val="both"/>
      </w:pPr>
      <w:r>
        <w:t>Все эти параметры можно оценить одновременно с помощью дисперсионного анализа (ANOVA) [20], если имеется достаточное число результатов повторных</w:t>
      </w:r>
      <w:r>
        <w:t xml:space="preserve"> измерений (одинаковое число повторных определений по </w:t>
      </w:r>
      <w:proofErr w:type="gramStart"/>
      <w:r>
        <w:t>каждой испытуемой пробе</w:t>
      </w:r>
      <w:proofErr w:type="gramEnd"/>
      <w:r>
        <w:t xml:space="preserve"> и одно и то же число испытуемых проб на метод/лабораторию) после исключения любых технически и статистически необоснованных результатов. Если это требование ANOVA невозможно выпо</w:t>
      </w:r>
      <w:r>
        <w:t>лнить из-за числа необоснованных и/или отсутствующих результатов, значимость дисперсии между экземплярами можно определить другими средствами (см. раздел 7).</w:t>
      </w:r>
    </w:p>
    <w:p w:rsidR="00000000" w:rsidRDefault="005829C2">
      <w:pPr>
        <w:pStyle w:val="FORMATTEXT"/>
        <w:ind w:firstLine="568"/>
        <w:jc w:val="both"/>
      </w:pPr>
    </w:p>
    <w:p w:rsidR="00000000" w:rsidRDefault="005829C2">
      <w:pPr>
        <w:pStyle w:val="FORMATTEXT"/>
        <w:ind w:firstLine="568"/>
        <w:jc w:val="both"/>
      </w:pPr>
      <w:r>
        <w:t>Теоретические детали и дополнительные методы для сбалансированного и несбалансированного ANOVA пр</w:t>
      </w:r>
      <w:r>
        <w:t>иведены в стандартных руководствах [44], [45]. Обсуждение ANOVA в контексте сертификации (аттестации) СО приведено в литературе [18], [20], [22], [23].</w:t>
      </w:r>
    </w:p>
    <w:p w:rsidR="00000000" w:rsidRDefault="005829C2">
      <w:pPr>
        <w:pStyle w:val="FORMATTEXT"/>
        <w:ind w:firstLine="568"/>
        <w:jc w:val="both"/>
      </w:pPr>
    </w:p>
    <w:p w:rsidR="00000000" w:rsidRDefault="00862BD0">
      <w:pPr>
        <w:pStyle w:val="TOPLEVELTEXT"/>
        <w:jc w:val="center"/>
      </w:pPr>
      <w:r>
        <w:rPr>
          <w:noProof/>
          <w:position w:val="-63"/>
        </w:rPr>
        <w:drawing>
          <wp:inline distT="0" distB="0" distL="0" distR="0">
            <wp:extent cx="6334125" cy="1600200"/>
            <wp:effectExtent l="0" t="0" r="9525" b="0"/>
            <wp:docPr id="221" name="Рисунок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6334125" cy="1600200"/>
                    </a:xfrm>
                    <a:prstGeom prst="rect">
                      <a:avLst/>
                    </a:prstGeom>
                    <a:noFill/>
                    <a:ln>
                      <a:noFill/>
                    </a:ln>
                  </pic:spPr>
                </pic:pic>
              </a:graphicData>
            </a:graphic>
          </wp:inline>
        </w:drawing>
      </w:r>
    </w:p>
    <w:p w:rsidR="00000000" w:rsidRDefault="005829C2">
      <w:pPr>
        <w:pStyle w:val="FORMATTEXT"/>
        <w:jc w:val="center"/>
      </w:pPr>
    </w:p>
    <w:p w:rsidR="00000000" w:rsidRDefault="005829C2">
      <w:pPr>
        <w:pStyle w:val="FORMATTEXT"/>
        <w:jc w:val="center"/>
      </w:pPr>
    </w:p>
    <w:p w:rsidR="00000000" w:rsidRDefault="005829C2">
      <w:pPr>
        <w:pStyle w:val="FORMATTEXT"/>
        <w:jc w:val="center"/>
      </w:pPr>
      <w:r>
        <w:rPr>
          <w:i/>
          <w:iCs/>
        </w:rPr>
        <w:t>А</w:t>
      </w:r>
      <w:r>
        <w:t xml:space="preserve"> - межлабораторное отклонение; </w:t>
      </w:r>
      <w:proofErr w:type="gramStart"/>
      <w:r>
        <w:rPr>
          <w:i/>
          <w:iCs/>
        </w:rPr>
        <w:t>В</w:t>
      </w:r>
      <w:proofErr w:type="gramEnd"/>
      <w:r>
        <w:t xml:space="preserve"> - отклонение между экземплярам</w:t>
      </w:r>
      <w:r>
        <w:t xml:space="preserve">и; </w:t>
      </w:r>
      <w:r>
        <w:rPr>
          <w:i/>
          <w:iCs/>
        </w:rPr>
        <w:t>W</w:t>
      </w:r>
      <w:r>
        <w:t xml:space="preserve"> - повторяемость (сходимость) измерений</w:t>
      </w:r>
    </w:p>
    <w:p w:rsidR="00000000" w:rsidRDefault="005829C2">
      <w:pPr>
        <w:pStyle w:val="FORMATTEXT"/>
        <w:jc w:val="center"/>
      </w:pPr>
    </w:p>
    <w:p w:rsidR="00000000" w:rsidRDefault="005829C2">
      <w:pPr>
        <w:pStyle w:val="FORMATTEXT"/>
        <w:jc w:val="center"/>
      </w:pPr>
      <w:r>
        <w:t>Рисунок А.1 - Схема проведения совместных исследований одновременно с исследованием однородности партии [</w:t>
      </w:r>
      <w:proofErr w:type="spellStart"/>
      <w:r>
        <w:t>характеризация</w:t>
      </w:r>
      <w:proofErr w:type="spellEnd"/>
      <w:r>
        <w:t xml:space="preserve"> СО (двухфакторный план эксперимента)] </w:t>
      </w:r>
    </w:p>
    <w:p w:rsidR="00000000" w:rsidRDefault="005829C2">
      <w:pPr>
        <w:pStyle w:val="FORMATTEXT"/>
        <w:ind w:firstLine="568"/>
        <w:jc w:val="both"/>
      </w:pPr>
      <w:r>
        <w:t xml:space="preserve">Ниже приведены формулы расчета вышеуказанных оценок </w:t>
      </w:r>
      <w:r>
        <w:t>[20], [21]. Среднее по совокупности рассчитывается по формуле:</w:t>
      </w:r>
    </w:p>
    <w:p w:rsidR="00000000" w:rsidRDefault="005829C2">
      <w:pPr>
        <w:pStyle w:val="FORMATTEXT"/>
        <w:ind w:firstLine="568"/>
        <w:jc w:val="both"/>
      </w:pPr>
    </w:p>
    <w:p w:rsidR="00000000" w:rsidRDefault="00862BD0">
      <w:pPr>
        <w:pStyle w:val="FORMATTEXT"/>
        <w:jc w:val="right"/>
      </w:pPr>
      <w:r>
        <w:rPr>
          <w:noProof/>
          <w:position w:val="-29"/>
        </w:rPr>
        <w:drawing>
          <wp:inline distT="0" distB="0" distL="0" distR="0">
            <wp:extent cx="1524000" cy="723900"/>
            <wp:effectExtent l="0" t="0" r="0" b="0"/>
            <wp:docPr id="222"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524000" cy="723900"/>
                    </a:xfrm>
                    <a:prstGeom prst="rect">
                      <a:avLst/>
                    </a:prstGeom>
                    <a:noFill/>
                    <a:ln>
                      <a:noFill/>
                    </a:ln>
                  </pic:spPr>
                </pic:pic>
              </a:graphicData>
            </a:graphic>
          </wp:inline>
        </w:drawing>
      </w:r>
      <w:r w:rsidR="005829C2">
        <w:t xml:space="preserve">,                                               (А.6) </w:t>
      </w:r>
    </w:p>
    <w:p w:rsidR="00000000" w:rsidRDefault="005829C2">
      <w:pPr>
        <w:pStyle w:val="FORMATTEXT"/>
        <w:jc w:val="both"/>
      </w:pPr>
    </w:p>
    <w:p w:rsidR="00000000" w:rsidRDefault="005829C2">
      <w:pPr>
        <w:pStyle w:val="FORMATTEXT"/>
        <w:jc w:val="both"/>
      </w:pPr>
    </w:p>
    <w:p w:rsidR="00000000" w:rsidRDefault="005829C2">
      <w:pPr>
        <w:pStyle w:val="FORMATTEXT"/>
        <w:jc w:val="both"/>
      </w:pPr>
      <w:r>
        <w:t xml:space="preserve">где </w:t>
      </w:r>
      <w:r>
        <w:rPr>
          <w:i/>
          <w:iCs/>
        </w:rPr>
        <w:t>p</w:t>
      </w:r>
      <w:r>
        <w:t xml:space="preserve"> обозначает число лабораторий, </w:t>
      </w:r>
      <w:r>
        <w:rPr>
          <w:i/>
          <w:iCs/>
        </w:rPr>
        <w:t>b</w:t>
      </w:r>
      <w:r w:rsidR="00862BD0">
        <w:rPr>
          <w:noProof/>
          <w:position w:val="-10"/>
        </w:rPr>
        <w:drawing>
          <wp:inline distT="0" distB="0" distL="0" distR="0">
            <wp:extent cx="85725" cy="228600"/>
            <wp:effectExtent l="0" t="0" r="9525" b="0"/>
            <wp:docPr id="223" name="Рисунок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t xml:space="preserve"> - число экземпляров, используемых методом/лабораторией </w:t>
      </w:r>
      <w:r>
        <w:rPr>
          <w:i/>
          <w:iCs/>
        </w:rPr>
        <w:t>i,</w:t>
      </w:r>
      <w:r>
        <w:t xml:space="preserve"> и </w:t>
      </w:r>
      <w:r>
        <w:rPr>
          <w:i/>
          <w:iCs/>
        </w:rPr>
        <w:t>n</w:t>
      </w:r>
      <w:r w:rsidR="00862BD0">
        <w:rPr>
          <w:noProof/>
          <w:position w:val="-10"/>
        </w:rPr>
        <w:drawing>
          <wp:inline distT="0" distB="0" distL="0" distR="0">
            <wp:extent cx="114300" cy="238125"/>
            <wp:effectExtent l="0" t="0" r="0" b="9525"/>
            <wp:docPr id="224" name="Рисунок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14300" cy="238125"/>
                    </a:xfrm>
                    <a:prstGeom prst="rect">
                      <a:avLst/>
                    </a:prstGeom>
                    <a:noFill/>
                    <a:ln>
                      <a:noFill/>
                    </a:ln>
                  </pic:spPr>
                </pic:pic>
              </a:graphicData>
            </a:graphic>
          </wp:inline>
        </w:drawing>
      </w:r>
      <w:r>
        <w:t xml:space="preserve"> - число повторных измерений на экземпляр </w:t>
      </w:r>
      <w:proofErr w:type="spellStart"/>
      <w:r>
        <w:rPr>
          <w:i/>
          <w:iCs/>
        </w:rPr>
        <w:t>ij</w:t>
      </w:r>
      <w:proofErr w:type="spellEnd"/>
      <w:r>
        <w:rPr>
          <w:i/>
          <w:iCs/>
        </w:rPr>
        <w:t>.</w:t>
      </w:r>
      <w:r>
        <w:t xml:space="preserve"> Дисперсии рассчитывают следующим образом:</w:t>
      </w:r>
    </w:p>
    <w:p w:rsidR="00000000" w:rsidRDefault="00862BD0">
      <w:pPr>
        <w:pStyle w:val="FORMATTEXT"/>
        <w:jc w:val="right"/>
      </w:pPr>
      <w:r>
        <w:rPr>
          <w:noProof/>
          <w:position w:val="-10"/>
        </w:rPr>
        <w:drawing>
          <wp:inline distT="0" distB="0" distL="0" distR="0">
            <wp:extent cx="1209675" cy="238125"/>
            <wp:effectExtent l="0" t="0" r="9525" b="9525"/>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209675" cy="238125"/>
                    </a:xfrm>
                    <a:prstGeom prst="rect">
                      <a:avLst/>
                    </a:prstGeom>
                    <a:noFill/>
                    <a:ln>
                      <a:noFill/>
                    </a:ln>
                  </pic:spPr>
                </pic:pic>
              </a:graphicData>
            </a:graphic>
          </wp:inline>
        </w:drawing>
      </w:r>
      <w:r w:rsidR="005829C2">
        <w:t xml:space="preserve">                                               (А.7) </w:t>
      </w:r>
    </w:p>
    <w:p w:rsidR="00000000" w:rsidRDefault="005829C2">
      <w:pPr>
        <w:pStyle w:val="FORMATTEXT"/>
        <w:jc w:val="right"/>
      </w:pPr>
      <w:r>
        <w:t>     </w:t>
      </w:r>
    </w:p>
    <w:p w:rsidR="00000000" w:rsidRDefault="00862BD0">
      <w:pPr>
        <w:pStyle w:val="FORMATTEXT"/>
        <w:jc w:val="right"/>
      </w:pPr>
      <w:r>
        <w:rPr>
          <w:noProof/>
          <w:position w:val="-17"/>
        </w:rPr>
        <w:drawing>
          <wp:inline distT="0" distB="0" distL="0" distR="0">
            <wp:extent cx="1819275" cy="428625"/>
            <wp:effectExtent l="0" t="0" r="9525" b="9525"/>
            <wp:docPr id="226" name="Рисунок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819275" cy="428625"/>
                    </a:xfrm>
                    <a:prstGeom prst="rect">
                      <a:avLst/>
                    </a:prstGeom>
                    <a:noFill/>
                    <a:ln>
                      <a:noFill/>
                    </a:ln>
                  </pic:spPr>
                </pic:pic>
              </a:graphicData>
            </a:graphic>
          </wp:inline>
        </w:drawing>
      </w:r>
      <w:r w:rsidR="005829C2">
        <w:t>                             </w:t>
      </w:r>
      <w:r w:rsidR="005829C2">
        <w:t xml:space="preserve">          (А.8) </w:t>
      </w:r>
    </w:p>
    <w:p w:rsidR="00000000" w:rsidRDefault="005829C2">
      <w:pPr>
        <w:pStyle w:val="FORMATTEXT"/>
        <w:jc w:val="right"/>
      </w:pPr>
      <w:r>
        <w:t>     </w:t>
      </w:r>
    </w:p>
    <w:p w:rsidR="00000000" w:rsidRDefault="00862BD0">
      <w:pPr>
        <w:pStyle w:val="FORMATTEXT"/>
        <w:jc w:val="right"/>
      </w:pPr>
      <w:r>
        <w:rPr>
          <w:noProof/>
          <w:position w:val="-20"/>
        </w:rPr>
        <w:drawing>
          <wp:inline distT="0" distB="0" distL="0" distR="0">
            <wp:extent cx="2590800" cy="504825"/>
            <wp:effectExtent l="0" t="0" r="0" b="9525"/>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590800" cy="504825"/>
                    </a:xfrm>
                    <a:prstGeom prst="rect">
                      <a:avLst/>
                    </a:prstGeom>
                    <a:noFill/>
                    <a:ln>
                      <a:noFill/>
                    </a:ln>
                  </pic:spPr>
                </pic:pic>
              </a:graphicData>
            </a:graphic>
          </wp:inline>
        </w:drawing>
      </w:r>
      <w:r w:rsidR="005829C2">
        <w:t xml:space="preserve">,                            (А.9) </w:t>
      </w:r>
    </w:p>
    <w:p w:rsidR="00000000" w:rsidRDefault="005829C2">
      <w:pPr>
        <w:pStyle w:val="FORMATTEXT"/>
        <w:jc w:val="both"/>
      </w:pPr>
    </w:p>
    <w:p w:rsidR="00000000" w:rsidRDefault="005829C2">
      <w:pPr>
        <w:pStyle w:val="FORMATTEXT"/>
        <w:jc w:val="both"/>
      </w:pPr>
    </w:p>
    <w:p w:rsidR="00000000" w:rsidRDefault="005829C2">
      <w:pPr>
        <w:pStyle w:val="FORMATTEXT"/>
        <w:jc w:val="both"/>
      </w:pPr>
      <w:r>
        <w:t>где</w:t>
      </w:r>
    </w:p>
    <w:p w:rsidR="00000000" w:rsidRDefault="00862BD0">
      <w:pPr>
        <w:pStyle w:val="FORMATTEXT"/>
        <w:jc w:val="right"/>
      </w:pPr>
      <w:r>
        <w:rPr>
          <w:noProof/>
          <w:position w:val="-26"/>
        </w:rPr>
        <w:lastRenderedPageBreak/>
        <w:drawing>
          <wp:inline distT="0" distB="0" distL="0" distR="0">
            <wp:extent cx="1647825" cy="657225"/>
            <wp:effectExtent l="0" t="0" r="9525" b="9525"/>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647825" cy="657225"/>
                    </a:xfrm>
                    <a:prstGeom prst="rect">
                      <a:avLst/>
                    </a:prstGeom>
                    <a:noFill/>
                    <a:ln>
                      <a:noFill/>
                    </a:ln>
                  </pic:spPr>
                </pic:pic>
              </a:graphicData>
            </a:graphic>
          </wp:inline>
        </w:drawing>
      </w:r>
      <w:r w:rsidR="005829C2">
        <w:t xml:space="preserve">,                                                     (А.10) </w:t>
      </w:r>
    </w:p>
    <w:p w:rsidR="00000000" w:rsidRDefault="005829C2">
      <w:pPr>
        <w:pStyle w:val="FORMATTEXT"/>
        <w:jc w:val="right"/>
      </w:pPr>
      <w:r>
        <w:t>     </w:t>
      </w:r>
    </w:p>
    <w:p w:rsidR="00000000" w:rsidRDefault="00862BD0">
      <w:pPr>
        <w:pStyle w:val="FORMATTEXT"/>
        <w:jc w:val="right"/>
      </w:pPr>
      <w:r>
        <w:rPr>
          <w:noProof/>
          <w:position w:val="-36"/>
        </w:rPr>
        <w:drawing>
          <wp:inline distT="0" distB="0" distL="0" distR="0">
            <wp:extent cx="1819275" cy="904875"/>
            <wp:effectExtent l="0" t="0" r="9525" b="9525"/>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819275" cy="904875"/>
                    </a:xfrm>
                    <a:prstGeom prst="rect">
                      <a:avLst/>
                    </a:prstGeom>
                    <a:noFill/>
                    <a:ln>
                      <a:noFill/>
                    </a:ln>
                  </pic:spPr>
                </pic:pic>
              </a:graphicData>
            </a:graphic>
          </wp:inline>
        </w:drawing>
      </w:r>
      <w:r w:rsidR="005829C2">
        <w:t>,              </w:t>
      </w:r>
      <w:r w:rsidR="005829C2">
        <w:t xml:space="preserve">                                   (А.11) </w:t>
      </w:r>
    </w:p>
    <w:p w:rsidR="00000000" w:rsidRDefault="005829C2">
      <w:pPr>
        <w:pStyle w:val="FORMATTEXT"/>
        <w:jc w:val="right"/>
      </w:pPr>
      <w:r>
        <w:t>     </w:t>
      </w:r>
    </w:p>
    <w:p w:rsidR="00000000" w:rsidRDefault="00862BD0">
      <w:pPr>
        <w:pStyle w:val="FORMATTEXT"/>
        <w:jc w:val="right"/>
      </w:pPr>
      <w:r>
        <w:rPr>
          <w:noProof/>
          <w:position w:val="-38"/>
        </w:rPr>
        <w:drawing>
          <wp:inline distT="0" distB="0" distL="0" distR="0">
            <wp:extent cx="1914525" cy="952500"/>
            <wp:effectExtent l="0" t="0" r="9525" b="0"/>
            <wp:docPr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914525" cy="952500"/>
                    </a:xfrm>
                    <a:prstGeom prst="rect">
                      <a:avLst/>
                    </a:prstGeom>
                    <a:noFill/>
                    <a:ln>
                      <a:noFill/>
                    </a:ln>
                  </pic:spPr>
                </pic:pic>
              </a:graphicData>
            </a:graphic>
          </wp:inline>
        </w:drawing>
      </w:r>
      <w:r w:rsidR="005829C2">
        <w:t xml:space="preserve">                                              (А.12) </w:t>
      </w:r>
    </w:p>
    <w:p w:rsidR="00000000" w:rsidRDefault="005829C2">
      <w:pPr>
        <w:pStyle w:val="FORMATTEXT"/>
        <w:jc w:val="both"/>
      </w:pPr>
    </w:p>
    <w:p w:rsidR="00000000" w:rsidRDefault="005829C2">
      <w:pPr>
        <w:pStyle w:val="FORMATTEXT"/>
        <w:jc w:val="both"/>
      </w:pPr>
    </w:p>
    <w:p w:rsidR="00000000" w:rsidRDefault="005829C2">
      <w:pPr>
        <w:pStyle w:val="FORMATTEXT"/>
        <w:jc w:val="both"/>
      </w:pPr>
      <w:r>
        <w:t>и</w:t>
      </w:r>
    </w:p>
    <w:p w:rsidR="00000000" w:rsidRDefault="00862BD0">
      <w:pPr>
        <w:pStyle w:val="FORMATTEXT"/>
        <w:jc w:val="right"/>
      </w:pPr>
      <w:r>
        <w:rPr>
          <w:noProof/>
          <w:position w:val="-46"/>
        </w:rPr>
        <w:drawing>
          <wp:inline distT="0" distB="0" distL="0" distR="0">
            <wp:extent cx="1685925" cy="1152525"/>
            <wp:effectExtent l="0" t="0" r="9525" b="9525"/>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685925" cy="1152525"/>
                    </a:xfrm>
                    <a:prstGeom prst="rect">
                      <a:avLst/>
                    </a:prstGeom>
                    <a:noFill/>
                    <a:ln>
                      <a:noFill/>
                    </a:ln>
                  </pic:spPr>
                </pic:pic>
              </a:graphicData>
            </a:graphic>
          </wp:inline>
        </w:drawing>
      </w:r>
      <w:r w:rsidR="005829C2">
        <w:t xml:space="preserve">,                                            (А.13) </w:t>
      </w:r>
    </w:p>
    <w:p w:rsidR="00000000" w:rsidRDefault="005829C2">
      <w:pPr>
        <w:pStyle w:val="FORMATTEXT"/>
        <w:jc w:val="right"/>
      </w:pPr>
      <w:r>
        <w:t>     </w:t>
      </w:r>
    </w:p>
    <w:p w:rsidR="00000000" w:rsidRDefault="00862BD0">
      <w:pPr>
        <w:pStyle w:val="FORMATTEXT"/>
        <w:jc w:val="right"/>
      </w:pPr>
      <w:r>
        <w:rPr>
          <w:noProof/>
          <w:position w:val="-55"/>
        </w:rPr>
        <w:drawing>
          <wp:inline distT="0" distB="0" distL="0" distR="0">
            <wp:extent cx="1638300" cy="1371600"/>
            <wp:effectExtent l="0" t="0" r="0" b="0"/>
            <wp:docPr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638300" cy="1371600"/>
                    </a:xfrm>
                    <a:prstGeom prst="rect">
                      <a:avLst/>
                    </a:prstGeom>
                    <a:noFill/>
                    <a:ln>
                      <a:noFill/>
                    </a:ln>
                  </pic:spPr>
                </pic:pic>
              </a:graphicData>
            </a:graphic>
          </wp:inline>
        </w:drawing>
      </w:r>
      <w:r w:rsidR="005829C2">
        <w:t xml:space="preserve">,                                            (А.14) </w:t>
      </w:r>
    </w:p>
    <w:p w:rsidR="00000000" w:rsidRDefault="005829C2">
      <w:pPr>
        <w:pStyle w:val="FORMATTEXT"/>
        <w:jc w:val="right"/>
      </w:pPr>
      <w:r>
        <w:t>     </w:t>
      </w:r>
    </w:p>
    <w:p w:rsidR="00000000" w:rsidRDefault="00862BD0">
      <w:pPr>
        <w:pStyle w:val="FORMATTEXT"/>
        <w:jc w:val="right"/>
      </w:pPr>
      <w:r>
        <w:rPr>
          <w:noProof/>
          <w:position w:val="-48"/>
        </w:rPr>
        <w:drawing>
          <wp:inline distT="0" distB="0" distL="0" distR="0">
            <wp:extent cx="1895475" cy="1209675"/>
            <wp:effectExtent l="0" t="0" r="9525" b="9525"/>
            <wp:docPr id="233"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1895475" cy="1209675"/>
                    </a:xfrm>
                    <a:prstGeom prst="rect">
                      <a:avLst/>
                    </a:prstGeom>
                    <a:noFill/>
                    <a:ln>
                      <a:noFill/>
                    </a:ln>
                  </pic:spPr>
                </pic:pic>
              </a:graphicData>
            </a:graphic>
          </wp:inline>
        </w:drawing>
      </w:r>
      <w:r w:rsidR="005829C2">
        <w:t xml:space="preserve">.                                               (А.15) </w:t>
      </w:r>
    </w:p>
    <w:p w:rsidR="00000000" w:rsidRDefault="005829C2">
      <w:pPr>
        <w:pStyle w:val="FORMATTEXT"/>
        <w:ind w:firstLine="568"/>
        <w:jc w:val="both"/>
      </w:pPr>
      <w:r>
        <w:t xml:space="preserve">Средние квадраты </w:t>
      </w:r>
      <w:r>
        <w:rPr>
          <w:i/>
          <w:iCs/>
        </w:rPr>
        <w:t>MS</w:t>
      </w:r>
      <w:r>
        <w:t xml:space="preserve"> можно также получить, используя стандартную программу табличных расче</w:t>
      </w:r>
      <w:r>
        <w:t>тов или пакет статистического программного обеспечения. В приведенных выражениях учитываются отсутствующие и/или удаленные (недействительные) данные. Для полного набора данных можно использовать более простые формулы, данные в ISO 5725-3 [3].</w:t>
      </w:r>
    </w:p>
    <w:p w:rsidR="00000000" w:rsidRDefault="005829C2">
      <w:pPr>
        <w:pStyle w:val="FORMATTEXT"/>
        <w:ind w:firstLine="568"/>
        <w:jc w:val="both"/>
      </w:pPr>
    </w:p>
    <w:p w:rsidR="00000000" w:rsidRDefault="005829C2">
      <w:pPr>
        <w:pStyle w:val="FORMATTEXT"/>
        <w:ind w:firstLine="568"/>
        <w:jc w:val="both"/>
      </w:pPr>
      <w:r>
        <w:rPr>
          <w:b/>
          <w:bCs/>
        </w:rPr>
        <w:t>A.3 Случайны</w:t>
      </w:r>
      <w:r>
        <w:rPr>
          <w:b/>
          <w:bCs/>
        </w:rPr>
        <w:t>е эффекты иерархического эксперимента при анализе данных:</w:t>
      </w:r>
      <w:r>
        <w:t xml:space="preserve"> </w:t>
      </w:r>
    </w:p>
    <w:p w:rsidR="00000000" w:rsidRDefault="005829C2">
      <w:pPr>
        <w:pStyle w:val="FORMATTEXT"/>
        <w:ind w:firstLine="568"/>
        <w:jc w:val="both"/>
      </w:pPr>
    </w:p>
    <w:p w:rsidR="00000000" w:rsidRDefault="005829C2">
      <w:pPr>
        <w:pStyle w:val="FORMATTEXT"/>
        <w:ind w:firstLine="568"/>
        <w:jc w:val="both"/>
      </w:pPr>
      <w:r>
        <w:rPr>
          <w:b/>
          <w:bCs/>
        </w:rPr>
        <w:t>однофакторный ANOVA</w:t>
      </w:r>
    </w:p>
    <w:p w:rsidR="00000000" w:rsidRDefault="005829C2">
      <w:pPr>
        <w:pStyle w:val="FORMATTEXT"/>
        <w:ind w:firstLine="568"/>
        <w:jc w:val="both"/>
      </w:pPr>
    </w:p>
    <w:p w:rsidR="00000000" w:rsidRDefault="005829C2">
      <w:pPr>
        <w:pStyle w:val="FORMATTEXT"/>
        <w:ind w:firstLine="568"/>
        <w:jc w:val="both"/>
      </w:pPr>
      <w:r>
        <w:t>Эту модель используют при подтверждении однородности между экземплярами другими средствами (см. раздел 7). Схема эксперимента проиллюстрирована на рисунке А.2. Результаты можн</w:t>
      </w:r>
      <w:r>
        <w:t>о затем упростить до:</w:t>
      </w:r>
    </w:p>
    <w:p w:rsidR="00000000" w:rsidRDefault="005829C2">
      <w:pPr>
        <w:pStyle w:val="FORMATTEXT"/>
        <w:ind w:firstLine="568"/>
        <w:jc w:val="both"/>
      </w:pPr>
    </w:p>
    <w:p w:rsidR="00000000" w:rsidRDefault="00862BD0">
      <w:pPr>
        <w:pStyle w:val="FORMATTEXT"/>
        <w:jc w:val="right"/>
      </w:pPr>
      <w:r>
        <w:rPr>
          <w:noProof/>
          <w:position w:val="-10"/>
        </w:rPr>
        <w:lastRenderedPageBreak/>
        <w:drawing>
          <wp:inline distT="0" distB="0" distL="0" distR="0">
            <wp:extent cx="990600" cy="238125"/>
            <wp:effectExtent l="0" t="0" r="0" b="9525"/>
            <wp:docPr id="234" name="Рисунок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990600" cy="238125"/>
                    </a:xfrm>
                    <a:prstGeom prst="rect">
                      <a:avLst/>
                    </a:prstGeom>
                    <a:noFill/>
                    <a:ln>
                      <a:noFill/>
                    </a:ln>
                  </pic:spPr>
                </pic:pic>
              </a:graphicData>
            </a:graphic>
          </wp:inline>
        </w:drawing>
      </w:r>
      <w:r w:rsidR="005829C2">
        <w:t xml:space="preserve">,                                                          (А.16) </w:t>
      </w:r>
    </w:p>
    <w:p w:rsidR="00000000" w:rsidRDefault="005829C2">
      <w:pPr>
        <w:pStyle w:val="FORMATTEXT"/>
        <w:jc w:val="both"/>
      </w:pPr>
    </w:p>
    <w:p w:rsidR="00000000" w:rsidRDefault="005829C2">
      <w:pPr>
        <w:pStyle w:val="FORMATTEXT"/>
        <w:jc w:val="both"/>
      </w:pPr>
    </w:p>
    <w:p w:rsidR="00000000" w:rsidRDefault="005829C2">
      <w:pPr>
        <w:pStyle w:val="FORMATTEXT"/>
        <w:jc w:val="both"/>
      </w:pPr>
      <w:r>
        <w:t xml:space="preserve">где </w:t>
      </w:r>
      <w:r>
        <w:rPr>
          <w:i/>
          <w:iCs/>
        </w:rPr>
        <w:t>x</w:t>
      </w:r>
      <w:r w:rsidR="00862BD0">
        <w:rPr>
          <w:noProof/>
          <w:position w:val="-10"/>
        </w:rPr>
        <w:drawing>
          <wp:inline distT="0" distB="0" distL="0" distR="0">
            <wp:extent cx="114300" cy="238125"/>
            <wp:effectExtent l="0" t="0" r="0" b="9525"/>
            <wp:docPr id="235"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238125"/>
                    </a:xfrm>
                    <a:prstGeom prst="rect">
                      <a:avLst/>
                    </a:prstGeom>
                    <a:noFill/>
                    <a:ln>
                      <a:noFill/>
                    </a:ln>
                  </pic:spPr>
                </pic:pic>
              </a:graphicData>
            </a:graphic>
          </wp:inline>
        </w:drawing>
      </w:r>
      <w:r>
        <w:t xml:space="preserve"> - </w:t>
      </w:r>
      <w:r>
        <w:rPr>
          <w:i/>
          <w:iCs/>
        </w:rPr>
        <w:t>j</w:t>
      </w:r>
      <w:r>
        <w:t xml:space="preserve"> результат метода/лаборатории </w:t>
      </w:r>
      <w:r>
        <w:rPr>
          <w:i/>
          <w:iCs/>
        </w:rPr>
        <w:t>i;</w:t>
      </w:r>
    </w:p>
    <w:p w:rsidR="00000000" w:rsidRDefault="005829C2">
      <w:pPr>
        <w:pStyle w:val="FORMATTEXT"/>
        <w:ind w:firstLine="568"/>
        <w:jc w:val="both"/>
      </w:pPr>
      <w:r>
        <w:rPr>
          <w:i/>
          <w:iCs/>
        </w:rPr>
        <w:t>A</w:t>
      </w:r>
      <w:r w:rsidR="00862BD0">
        <w:rPr>
          <w:noProof/>
          <w:position w:val="-10"/>
        </w:rPr>
        <w:drawing>
          <wp:inline distT="0" distB="0" distL="0" distR="0">
            <wp:extent cx="85725" cy="228600"/>
            <wp:effectExtent l="0" t="0" r="9525" b="0"/>
            <wp:docPr id="236" name="Рисунок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t> - погрешност</w:t>
      </w:r>
      <w:r>
        <w:t xml:space="preserve">ь метода/лаборатории </w:t>
      </w:r>
      <w:r>
        <w:rPr>
          <w:i/>
          <w:iCs/>
        </w:rPr>
        <w:t>i</w:t>
      </w:r>
      <w:r>
        <w:t>;</w:t>
      </w:r>
    </w:p>
    <w:p w:rsidR="00000000" w:rsidRDefault="005829C2">
      <w:pPr>
        <w:pStyle w:val="FORMATTEXT"/>
        <w:ind w:firstLine="568"/>
        <w:jc w:val="both"/>
      </w:pPr>
    </w:p>
    <w:p w:rsidR="00000000" w:rsidRDefault="00862BD0">
      <w:pPr>
        <w:pStyle w:val="FORMATTEXT"/>
        <w:ind w:firstLine="568"/>
        <w:jc w:val="both"/>
      </w:pPr>
      <w:r>
        <w:rPr>
          <w:noProof/>
          <w:position w:val="-10"/>
        </w:rPr>
        <w:drawing>
          <wp:inline distT="0" distB="0" distL="0" distR="0">
            <wp:extent cx="180975" cy="238125"/>
            <wp:effectExtent l="0" t="0" r="9525" b="9525"/>
            <wp:docPr id="237"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5829C2">
        <w:t>- погрешность измерений.</w:t>
      </w:r>
    </w:p>
    <w:p w:rsidR="00000000" w:rsidRDefault="005829C2">
      <w:pPr>
        <w:pStyle w:val="FORMATTEXT"/>
        <w:ind w:firstLine="568"/>
        <w:jc w:val="both"/>
      </w:pPr>
    </w:p>
    <w:p w:rsidR="00000000" w:rsidRDefault="00862BD0">
      <w:pPr>
        <w:pStyle w:val="TOPLEVELTEXT"/>
        <w:jc w:val="center"/>
      </w:pPr>
      <w:r>
        <w:rPr>
          <w:noProof/>
          <w:position w:val="-49"/>
        </w:rPr>
        <w:drawing>
          <wp:inline distT="0" distB="0" distL="0" distR="0">
            <wp:extent cx="6334125" cy="1257300"/>
            <wp:effectExtent l="0" t="0" r="9525" b="0"/>
            <wp:docPr id="238" name="Рисунок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6334125" cy="1257300"/>
                    </a:xfrm>
                    <a:prstGeom prst="rect">
                      <a:avLst/>
                    </a:prstGeom>
                    <a:noFill/>
                    <a:ln>
                      <a:noFill/>
                    </a:ln>
                  </pic:spPr>
                </pic:pic>
              </a:graphicData>
            </a:graphic>
          </wp:inline>
        </w:drawing>
      </w:r>
    </w:p>
    <w:p w:rsidR="00000000" w:rsidRDefault="005829C2">
      <w:pPr>
        <w:pStyle w:val="FORMATTEXT"/>
        <w:jc w:val="center"/>
      </w:pPr>
    </w:p>
    <w:p w:rsidR="00000000" w:rsidRDefault="005829C2">
      <w:pPr>
        <w:pStyle w:val="FORMATTEXT"/>
        <w:jc w:val="center"/>
      </w:pPr>
      <w:r>
        <w:rPr>
          <w:i/>
          <w:iCs/>
        </w:rPr>
        <w:t>А</w:t>
      </w:r>
      <w:r>
        <w:t xml:space="preserve"> - изменения между лабораториями;</w:t>
      </w:r>
    </w:p>
    <w:p w:rsidR="00000000" w:rsidRDefault="005829C2">
      <w:pPr>
        <w:pStyle w:val="FORMATTEXT"/>
        <w:jc w:val="center"/>
      </w:pPr>
      <w:r>
        <w:rPr>
          <w:i/>
          <w:iCs/>
        </w:rPr>
        <w:t>W</w:t>
      </w:r>
      <w:r>
        <w:t xml:space="preserve"> - повторяемость (сходимость) измерений</w:t>
      </w:r>
    </w:p>
    <w:p w:rsidR="00000000" w:rsidRDefault="005829C2">
      <w:pPr>
        <w:pStyle w:val="FORMATTEXT"/>
        <w:jc w:val="center"/>
      </w:pPr>
    </w:p>
    <w:p w:rsidR="00000000" w:rsidRDefault="005829C2">
      <w:pPr>
        <w:pStyle w:val="FORMATTEXT"/>
        <w:jc w:val="center"/>
      </w:pPr>
      <w:r>
        <w:t>Рисунок A.2 - Однофакторный дисперсионный анализ: план</w:t>
      </w:r>
      <w:r>
        <w:t xml:space="preserve"> совместного исследования [</w:t>
      </w:r>
      <w:proofErr w:type="spellStart"/>
      <w:r>
        <w:t>характеризация</w:t>
      </w:r>
      <w:proofErr w:type="spellEnd"/>
      <w:r>
        <w:t xml:space="preserve"> СО (однофакторный план эксперимента)] </w:t>
      </w:r>
    </w:p>
    <w:p w:rsidR="00000000" w:rsidRDefault="005829C2">
      <w:pPr>
        <w:pStyle w:val="FORMATTEXT"/>
        <w:ind w:firstLine="568"/>
        <w:jc w:val="both"/>
      </w:pPr>
      <w:r>
        <w:t>Обозначения те же самые, что и для двухфакторного плана эксперимента (см. А.2). Оцениваемыми показателями являются среднее по совокупности межлабораторное стандартное отклонен</w:t>
      </w:r>
      <w:r>
        <w:t xml:space="preserve">ие </w:t>
      </w:r>
      <w:r>
        <w:rPr>
          <w:i/>
          <w:iCs/>
        </w:rPr>
        <w:t>s</w:t>
      </w:r>
      <w:r w:rsidR="00862BD0">
        <w:rPr>
          <w:noProof/>
          <w:position w:val="-9"/>
        </w:rPr>
        <w:drawing>
          <wp:inline distT="0" distB="0" distL="0" distR="0">
            <wp:extent cx="114300" cy="219075"/>
            <wp:effectExtent l="0" t="0" r="0" b="9525"/>
            <wp:docPr id="239" name="Рисунок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r>
        <w:t xml:space="preserve"> и стандартное отклонение повторяемости </w:t>
      </w:r>
      <w:r>
        <w:rPr>
          <w:i/>
          <w:iCs/>
        </w:rPr>
        <w:t>s</w:t>
      </w:r>
      <w:r w:rsidR="00862BD0">
        <w:rPr>
          <w:noProof/>
          <w:position w:val="-9"/>
        </w:rPr>
        <w:drawing>
          <wp:inline distT="0" distB="0" distL="0" distR="0">
            <wp:extent cx="104775" cy="219075"/>
            <wp:effectExtent l="0" t="0" r="9525" b="9525"/>
            <wp:docPr id="240" name="Рисунок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t>. Они связаны с остаточными членами, как описано в А.2.</w:t>
      </w:r>
    </w:p>
    <w:p w:rsidR="00000000" w:rsidRDefault="005829C2">
      <w:pPr>
        <w:pStyle w:val="FORMATTEXT"/>
        <w:ind w:firstLine="568"/>
        <w:jc w:val="both"/>
      </w:pPr>
    </w:p>
    <w:p w:rsidR="00000000" w:rsidRDefault="005829C2">
      <w:pPr>
        <w:pStyle w:val="FORMATTEXT"/>
        <w:ind w:firstLine="568"/>
        <w:jc w:val="both"/>
      </w:pPr>
      <w:r>
        <w:t>Оценки показателей можно получить, используя следующие выражения [20], [21]. Среднее</w:t>
      </w:r>
      <w:r>
        <w:t xml:space="preserve"> по совокупности вычисляется по формулам:</w:t>
      </w:r>
    </w:p>
    <w:p w:rsidR="00000000" w:rsidRDefault="005829C2">
      <w:pPr>
        <w:pStyle w:val="FORMATTEXT"/>
        <w:ind w:firstLine="568"/>
        <w:jc w:val="both"/>
      </w:pPr>
    </w:p>
    <w:p w:rsidR="00000000" w:rsidRDefault="00862BD0">
      <w:pPr>
        <w:pStyle w:val="FORMATTEXT"/>
        <w:jc w:val="right"/>
      </w:pPr>
      <w:r>
        <w:rPr>
          <w:noProof/>
          <w:position w:val="-26"/>
        </w:rPr>
        <w:drawing>
          <wp:inline distT="0" distB="0" distL="0" distR="0">
            <wp:extent cx="1095375" cy="657225"/>
            <wp:effectExtent l="0" t="0" r="9525" b="9525"/>
            <wp:docPr id="241" name="Рисунок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095375" cy="657225"/>
                    </a:xfrm>
                    <a:prstGeom prst="rect">
                      <a:avLst/>
                    </a:prstGeom>
                    <a:noFill/>
                    <a:ln>
                      <a:noFill/>
                    </a:ln>
                  </pic:spPr>
                </pic:pic>
              </a:graphicData>
            </a:graphic>
          </wp:inline>
        </w:drawing>
      </w:r>
      <w:r w:rsidR="005829C2">
        <w:t xml:space="preserve">,                                                     (А.17) </w:t>
      </w:r>
    </w:p>
    <w:p w:rsidR="00000000" w:rsidRDefault="005829C2">
      <w:pPr>
        <w:pStyle w:val="FORMATTEXT"/>
        <w:jc w:val="right"/>
      </w:pPr>
      <w:r>
        <w:t>     </w:t>
      </w:r>
    </w:p>
    <w:p w:rsidR="00000000" w:rsidRDefault="00862BD0">
      <w:pPr>
        <w:pStyle w:val="FORMATTEXT"/>
        <w:jc w:val="right"/>
      </w:pPr>
      <w:r>
        <w:rPr>
          <w:noProof/>
          <w:position w:val="-11"/>
        </w:rPr>
        <w:drawing>
          <wp:inline distT="0" distB="0" distL="0" distR="0">
            <wp:extent cx="847725" cy="266700"/>
            <wp:effectExtent l="0" t="0" r="9525" b="0"/>
            <wp:docPr id="242" name="Рисунок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847725" cy="266700"/>
                    </a:xfrm>
                    <a:prstGeom prst="rect">
                      <a:avLst/>
                    </a:prstGeom>
                    <a:noFill/>
                    <a:ln>
                      <a:noFill/>
                    </a:ln>
                  </pic:spPr>
                </pic:pic>
              </a:graphicData>
            </a:graphic>
          </wp:inline>
        </w:drawing>
      </w:r>
      <w:r w:rsidR="005829C2">
        <w:t xml:space="preserve">,                                                        (A.18) </w:t>
      </w:r>
    </w:p>
    <w:p w:rsidR="00000000" w:rsidRDefault="005829C2">
      <w:pPr>
        <w:pStyle w:val="FORMATTEXT"/>
        <w:jc w:val="right"/>
      </w:pPr>
      <w:r>
        <w:t>     </w:t>
      </w:r>
    </w:p>
    <w:p w:rsidR="00000000" w:rsidRDefault="00862BD0">
      <w:pPr>
        <w:pStyle w:val="FORMATTEXT"/>
        <w:jc w:val="right"/>
      </w:pPr>
      <w:r>
        <w:rPr>
          <w:noProof/>
          <w:position w:val="-19"/>
        </w:rPr>
        <w:drawing>
          <wp:inline distT="0" distB="0" distL="0" distR="0">
            <wp:extent cx="1562100" cy="457200"/>
            <wp:effectExtent l="0" t="0" r="0" b="0"/>
            <wp:docPr id="243" name="Рисунок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562100" cy="457200"/>
                    </a:xfrm>
                    <a:prstGeom prst="rect">
                      <a:avLst/>
                    </a:prstGeom>
                    <a:noFill/>
                    <a:ln>
                      <a:noFill/>
                    </a:ln>
                  </pic:spPr>
                </pic:pic>
              </a:graphicData>
            </a:graphic>
          </wp:inline>
        </w:drawing>
      </w:r>
      <w:r w:rsidR="005829C2">
        <w:t xml:space="preserve">,                                            (А.19) </w:t>
      </w:r>
    </w:p>
    <w:p w:rsidR="00000000" w:rsidRDefault="005829C2">
      <w:pPr>
        <w:pStyle w:val="FORMATTEXT"/>
        <w:jc w:val="both"/>
      </w:pPr>
    </w:p>
    <w:p w:rsidR="00000000" w:rsidRDefault="005829C2">
      <w:pPr>
        <w:pStyle w:val="FORMATTEXT"/>
        <w:jc w:val="both"/>
      </w:pPr>
    </w:p>
    <w:p w:rsidR="00000000" w:rsidRDefault="005829C2">
      <w:pPr>
        <w:pStyle w:val="FORMATTEXT"/>
        <w:jc w:val="both"/>
      </w:pPr>
      <w:r>
        <w:t xml:space="preserve">где обозначения имеют то же значение, что и в А.1. </w:t>
      </w:r>
    </w:p>
    <w:p w:rsidR="00000000" w:rsidRDefault="005829C2">
      <w:pPr>
        <w:pStyle w:val="FORMATTEXT"/>
        <w:jc w:val="center"/>
      </w:pPr>
      <w:r>
        <w:t>Приложен</w:t>
      </w:r>
      <w:r>
        <w:t>ие В</w:t>
      </w:r>
    </w:p>
    <w:p w:rsidR="00000000" w:rsidRDefault="005829C2">
      <w:pPr>
        <w:pStyle w:val="FORMATTEXT"/>
        <w:jc w:val="center"/>
      </w:pPr>
      <w:r>
        <w:t xml:space="preserve">(справочное) </w:t>
      </w:r>
    </w:p>
    <w:p w:rsidR="00000000" w:rsidRDefault="005829C2">
      <w:pPr>
        <w:pStyle w:val="HEADERTEXT"/>
        <w:rPr>
          <w:b/>
          <w:bCs/>
          <w:color w:val="000001"/>
        </w:rPr>
      </w:pPr>
    </w:p>
    <w:p w:rsidR="00000000" w:rsidRDefault="005829C2">
      <w:pPr>
        <w:pStyle w:val="HEADERTEXT"/>
        <w:jc w:val="center"/>
        <w:rPr>
          <w:b/>
          <w:bCs/>
          <w:color w:val="000001"/>
        </w:rPr>
      </w:pPr>
      <w:r>
        <w:rPr>
          <w:b/>
          <w:bCs/>
          <w:color w:val="000001"/>
        </w:rPr>
        <w:t xml:space="preserve">      </w:t>
      </w:r>
    </w:p>
    <w:p w:rsidR="00000000" w:rsidRDefault="005829C2">
      <w:pPr>
        <w:pStyle w:val="HEADERTEXT"/>
        <w:jc w:val="center"/>
        <w:rPr>
          <w:b/>
          <w:bCs/>
          <w:color w:val="000001"/>
        </w:rPr>
      </w:pPr>
      <w:r>
        <w:rPr>
          <w:b/>
          <w:bCs/>
          <w:color w:val="000001"/>
        </w:rPr>
        <w:t xml:space="preserve">Примеры </w:t>
      </w:r>
    </w:p>
    <w:p w:rsidR="00000000" w:rsidRDefault="005829C2">
      <w:pPr>
        <w:pStyle w:val="FORMATTEXT"/>
        <w:ind w:firstLine="568"/>
        <w:jc w:val="both"/>
      </w:pPr>
      <w:r>
        <w:rPr>
          <w:b/>
          <w:bCs/>
        </w:rPr>
        <w:t>В.1 Общие положения</w:t>
      </w:r>
    </w:p>
    <w:p w:rsidR="00000000" w:rsidRDefault="005829C2">
      <w:pPr>
        <w:pStyle w:val="FORMATTEXT"/>
        <w:ind w:firstLine="568"/>
        <w:jc w:val="both"/>
      </w:pPr>
    </w:p>
    <w:p w:rsidR="00000000" w:rsidRDefault="005829C2">
      <w:pPr>
        <w:pStyle w:val="FORMATTEXT"/>
        <w:ind w:firstLine="568"/>
        <w:jc w:val="both"/>
      </w:pPr>
      <w:r>
        <w:t>Приведенные в этом приложении примеры предназначены главным образом для демонстрации применения статистических подходов, изложенных в разделах 7-10. Поэтому большинство примеров вырезано из их контек</w:t>
      </w:r>
      <w:r>
        <w:t>ста. Они представляют результаты так, как они получены на практике, и показывают, как эти данные обработаны в соответствии с данным стандартом. Статистические рекомендации данного стандарта являются общими по своему характеру и не всегда представляют оптим</w:t>
      </w:r>
      <w:r>
        <w:t xml:space="preserve">альное решение для конкретной проблемы. В оценке данных имеется много дополнительных аспектов (например, проверка достоверности данных, обнаружение выбросов, оценка указаний неопределенности на достоверность, численная устойчивость алгоритмов программного </w:t>
      </w:r>
      <w:r>
        <w:t xml:space="preserve">обеспечения), которые находятся вне компетенции данного стандарта, но могут быть также важны, как </w:t>
      </w:r>
      <w:r>
        <w:lastRenderedPageBreak/>
        <w:t>выбор "правильного" статистического подхода.</w:t>
      </w:r>
    </w:p>
    <w:p w:rsidR="00000000" w:rsidRDefault="005829C2">
      <w:pPr>
        <w:pStyle w:val="FORMATTEXT"/>
        <w:ind w:firstLine="568"/>
        <w:jc w:val="both"/>
      </w:pPr>
    </w:p>
    <w:p w:rsidR="00000000" w:rsidRDefault="005829C2">
      <w:pPr>
        <w:pStyle w:val="FORMATTEXT"/>
        <w:ind w:firstLine="568"/>
        <w:jc w:val="both"/>
      </w:pPr>
      <w:r>
        <w:t>Некоторые стандартные образцы сертифицируют (аттестуют) с использованием средств калибровки или данных, полученн</w:t>
      </w:r>
      <w:r>
        <w:t>ых при приготовлении этих СО. Примеры таких калибровок можно найти в доступной литературе, и поэтому они опускаются в этом приложении. Большинство проблем, встречающихся в этих проектах, относится больше к применению GUM, чем к конкретным вопросам производ</w:t>
      </w:r>
      <w:r>
        <w:t>ства СО.</w:t>
      </w:r>
    </w:p>
    <w:p w:rsidR="00000000" w:rsidRDefault="005829C2">
      <w:pPr>
        <w:pStyle w:val="FORMATTEXT"/>
        <w:ind w:firstLine="568"/>
        <w:jc w:val="both"/>
      </w:pPr>
    </w:p>
    <w:p w:rsidR="00000000" w:rsidRDefault="005829C2">
      <w:pPr>
        <w:pStyle w:val="FORMATTEXT"/>
        <w:ind w:firstLine="568"/>
        <w:jc w:val="both"/>
      </w:pPr>
      <w:r>
        <w:t>В контексте данного стандарта невозможно привести примеры полных программ сертификации (аттестации). Такие примеры будут полезны только для небольшой группы изготовителей СО. Отчеты о сертификации (отчеты об аттестации), доступная литература вмес</w:t>
      </w:r>
      <w:r>
        <w:t>те с рекомендациями, данными в настоящем стандарте, формируют подходящую основу для разработки программ сертификации (аттестации).</w:t>
      </w:r>
    </w:p>
    <w:p w:rsidR="00000000" w:rsidRDefault="005829C2">
      <w:pPr>
        <w:pStyle w:val="FORMATTEXT"/>
        <w:ind w:firstLine="568"/>
        <w:jc w:val="both"/>
      </w:pPr>
    </w:p>
    <w:p w:rsidR="00000000" w:rsidRDefault="005829C2">
      <w:pPr>
        <w:pStyle w:val="FORMATTEXT"/>
        <w:ind w:firstLine="568"/>
        <w:jc w:val="both"/>
      </w:pPr>
      <w:r>
        <w:t>В этом приложении отдельные части проектов сертификации (аттестации) были переработаны для иллюстрации ключевых статистическ</w:t>
      </w:r>
      <w:r>
        <w:t xml:space="preserve">их рекомендаций. Уместность этих примеров должна рассматриваться в контексте заявлений, сделанных в начале этого подраздела. Хотя даны исследуемые параметры или матрица, ни в одном из случаев на способ по оценке данных, </w:t>
      </w:r>
      <w:proofErr w:type="gramStart"/>
      <w:r>
        <w:t>например</w:t>
      </w:r>
      <w:proofErr w:type="gramEnd"/>
      <w:r>
        <w:t xml:space="preserve"> исследования однородности, </w:t>
      </w:r>
      <w:r>
        <w:t>тот или иной показатель не оказывал влияния. Единственный критерий, применяемый к выбору этих примеров, - это то, чтобы данные подчинялись более или менее распределению Гаусса.</w:t>
      </w:r>
    </w:p>
    <w:p w:rsidR="00000000" w:rsidRDefault="005829C2">
      <w:pPr>
        <w:pStyle w:val="FORMATTEXT"/>
        <w:ind w:firstLine="568"/>
        <w:jc w:val="both"/>
      </w:pPr>
    </w:p>
    <w:p w:rsidR="00000000" w:rsidRDefault="005829C2">
      <w:pPr>
        <w:pStyle w:val="FORMATTEXT"/>
        <w:ind w:firstLine="568"/>
        <w:jc w:val="both"/>
      </w:pPr>
      <w:r>
        <w:rPr>
          <w:b/>
          <w:bCs/>
        </w:rPr>
        <w:t xml:space="preserve">В.2 Модель </w:t>
      </w:r>
      <w:proofErr w:type="spellStart"/>
      <w:r>
        <w:rPr>
          <w:b/>
          <w:bCs/>
        </w:rPr>
        <w:t>характеризации</w:t>
      </w:r>
      <w:proofErr w:type="spellEnd"/>
    </w:p>
    <w:p w:rsidR="00000000" w:rsidRDefault="005829C2">
      <w:pPr>
        <w:pStyle w:val="FORMATTEXT"/>
        <w:ind w:firstLine="568"/>
        <w:jc w:val="both"/>
      </w:pPr>
    </w:p>
    <w:p w:rsidR="00000000" w:rsidRDefault="005829C2">
      <w:pPr>
        <w:pStyle w:val="FORMATTEXT"/>
        <w:ind w:firstLine="568"/>
        <w:jc w:val="both"/>
      </w:pPr>
      <w:r>
        <w:t>Расширенная неопределенность ССО (АСО) IRMM IFCC 45</w:t>
      </w:r>
      <w:r>
        <w:t>2 (</w:t>
      </w:r>
      <w:r w:rsidR="00862BD0">
        <w:rPr>
          <w:noProof/>
          <w:position w:val="-7"/>
        </w:rPr>
        <w:drawing>
          <wp:inline distT="0" distB="0" distL="0" distR="0">
            <wp:extent cx="114300" cy="161925"/>
            <wp:effectExtent l="0" t="0" r="0" b="9525"/>
            <wp:docPr id="244" name="Рисунок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14300" cy="161925"/>
                    </a:xfrm>
                    <a:prstGeom prst="rect">
                      <a:avLst/>
                    </a:prstGeom>
                    <a:noFill/>
                    <a:ln>
                      <a:noFill/>
                    </a:ln>
                  </pic:spPr>
                </pic:pic>
              </a:graphicData>
            </a:graphic>
          </wp:inline>
        </w:drawing>
      </w:r>
      <w:r>
        <w:t>-</w:t>
      </w:r>
      <w:proofErr w:type="spellStart"/>
      <w:r>
        <w:t>глютамилтрансфераза</w:t>
      </w:r>
      <w:proofErr w:type="spellEnd"/>
      <w:r>
        <w:t xml:space="preserve">) (разработка Института стандартных образцов и измерений и Международной федерации по клинической химии и лабораторной медицине) [46] оценена путем объединения вкладов от </w:t>
      </w:r>
      <w:proofErr w:type="spellStart"/>
      <w:r>
        <w:t>характеризации</w:t>
      </w:r>
      <w:proofErr w:type="spellEnd"/>
      <w:r>
        <w:t>, однороднос</w:t>
      </w:r>
      <w:r>
        <w:t>ти и стабильности в общую неопределенность значений параметра:</w:t>
      </w:r>
    </w:p>
    <w:p w:rsidR="00000000" w:rsidRDefault="005829C2">
      <w:pPr>
        <w:pStyle w:val="FORMATTEXT"/>
        <w:ind w:firstLine="568"/>
        <w:jc w:val="both"/>
      </w:pPr>
    </w:p>
    <w:p w:rsidR="00000000" w:rsidRDefault="00862BD0">
      <w:pPr>
        <w:pStyle w:val="FORMATTEXT"/>
        <w:jc w:val="center"/>
      </w:pPr>
      <w:r>
        <w:rPr>
          <w:noProof/>
          <w:position w:val="-13"/>
        </w:rPr>
        <w:drawing>
          <wp:inline distT="0" distB="0" distL="0" distR="0">
            <wp:extent cx="2105025" cy="304800"/>
            <wp:effectExtent l="0" t="0" r="9525" b="0"/>
            <wp:docPr id="245" name="Рисунок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2105025" cy="304800"/>
                    </a:xfrm>
                    <a:prstGeom prst="rect">
                      <a:avLst/>
                    </a:prstGeom>
                    <a:noFill/>
                    <a:ln>
                      <a:noFill/>
                    </a:ln>
                  </pic:spPr>
                </pic:pic>
              </a:graphicData>
            </a:graphic>
          </wp:inline>
        </w:drawing>
      </w:r>
      <w:r w:rsidR="005829C2">
        <w:t>.</w:t>
      </w:r>
    </w:p>
    <w:p w:rsidR="00000000" w:rsidRDefault="005829C2">
      <w:pPr>
        <w:pStyle w:val="FORMATTEXT"/>
        <w:ind w:firstLine="568"/>
        <w:jc w:val="both"/>
      </w:pPr>
      <w:r>
        <w:t>Использовался коэффициент охвата k=2. Условия транспортирования выбирались таким образом, чтобы не учитывать дополнительную неопределенность от нестабильно</w:t>
      </w:r>
      <w:r>
        <w:t xml:space="preserve">сти при транспортировании. Следовательно, </w:t>
      </w:r>
      <w:r w:rsidR="00862BD0">
        <w:rPr>
          <w:noProof/>
          <w:position w:val="-10"/>
        </w:rPr>
        <w:drawing>
          <wp:inline distT="0" distB="0" distL="0" distR="0">
            <wp:extent cx="371475" cy="228600"/>
            <wp:effectExtent l="0" t="0" r="9525" b="0"/>
            <wp:docPr id="246" name="Рисунок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371475" cy="228600"/>
                    </a:xfrm>
                    <a:prstGeom prst="rect">
                      <a:avLst/>
                    </a:prstGeom>
                    <a:noFill/>
                    <a:ln>
                      <a:noFill/>
                    </a:ln>
                  </pic:spPr>
                </pic:pic>
              </a:graphicData>
            </a:graphic>
          </wp:inline>
        </w:drawing>
      </w:r>
      <w:r>
        <w:t xml:space="preserve">0. Все другие неопределенности выражены по отношению к значению параметра от </w:t>
      </w:r>
      <w:proofErr w:type="spellStart"/>
      <w:r>
        <w:t>характеризации</w:t>
      </w:r>
      <w:proofErr w:type="spellEnd"/>
      <w:r>
        <w:t xml:space="preserve"> </w:t>
      </w:r>
      <w:r>
        <w:rPr>
          <w:i/>
          <w:iCs/>
        </w:rPr>
        <w:t>x</w:t>
      </w:r>
      <w:r w:rsidR="00862BD0">
        <w:rPr>
          <w:noProof/>
          <w:position w:val="-10"/>
        </w:rPr>
        <w:drawing>
          <wp:inline distT="0" distB="0" distL="0" distR="0">
            <wp:extent cx="257175" cy="228600"/>
            <wp:effectExtent l="0" t="0" r="9525" b="0"/>
            <wp:docPr id="247" name="Рисунок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rsidR="00862BD0">
        <w:rPr>
          <w:noProof/>
          <w:position w:val="-9"/>
        </w:rPr>
        <w:drawing>
          <wp:inline distT="0" distB="0" distL="0" distR="0">
            <wp:extent cx="85725" cy="219075"/>
            <wp:effectExtent l="0" t="0" r="9525" b="9525"/>
            <wp:docPr id="248" name="Рисунок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t xml:space="preserve">. </w:t>
      </w:r>
    </w:p>
    <w:p w:rsidR="00000000" w:rsidRDefault="005829C2">
      <w:pPr>
        <w:pStyle w:val="FORMATTEXT"/>
        <w:jc w:val="both"/>
      </w:pPr>
      <w:r>
        <w:t>____________</w:t>
      </w:r>
      <w:r>
        <w:t xml:space="preserve">____ </w:t>
      </w:r>
    </w:p>
    <w:p w:rsidR="00000000" w:rsidRDefault="00862BD0">
      <w:pPr>
        <w:pStyle w:val="FORMATTEXT"/>
        <w:ind w:firstLine="568"/>
        <w:jc w:val="both"/>
      </w:pPr>
      <w:r>
        <w:rPr>
          <w:noProof/>
          <w:position w:val="-9"/>
        </w:rPr>
        <w:drawing>
          <wp:inline distT="0" distB="0" distL="0" distR="0">
            <wp:extent cx="85725" cy="219075"/>
            <wp:effectExtent l="0" t="0" r="9525" b="9525"/>
            <wp:docPr id="249" name="Рисунок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proofErr w:type="spellStart"/>
      <w:r w:rsidR="005829C2">
        <w:t>Oтносительные</w:t>
      </w:r>
      <w:proofErr w:type="spellEnd"/>
      <w:r w:rsidR="005829C2">
        <w:t> неопределенности можно объединять только в том случае, если все неопределенности выражены по отношению к одному значению. В случае сомнения лучше объединять стандартные неопределенности, выраженные в а</w:t>
      </w:r>
      <w:r w:rsidR="005829C2">
        <w:t>бсолютных единицах.</w:t>
      </w:r>
    </w:p>
    <w:p w:rsidR="00000000" w:rsidRDefault="005829C2">
      <w:pPr>
        <w:pStyle w:val="FORMATTEXT"/>
        <w:ind w:firstLine="568"/>
        <w:jc w:val="both"/>
      </w:pPr>
    </w:p>
    <w:p w:rsidR="00000000" w:rsidRDefault="005829C2">
      <w:pPr>
        <w:pStyle w:val="FORMATTEXT"/>
        <w:ind w:firstLine="568"/>
        <w:jc w:val="both"/>
      </w:pPr>
      <w:r>
        <w:t xml:space="preserve">Установлено, что неопределенность от </w:t>
      </w:r>
      <w:proofErr w:type="spellStart"/>
      <w:r>
        <w:t>характеризации</w:t>
      </w:r>
      <w:proofErr w:type="spellEnd"/>
      <w:r>
        <w:t xml:space="preserve"> партии </w:t>
      </w:r>
      <w:r>
        <w:rPr>
          <w:i/>
          <w:iCs/>
        </w:rPr>
        <w:t>u</w:t>
      </w:r>
      <w:r w:rsidR="00862BD0">
        <w:rPr>
          <w:noProof/>
          <w:position w:val="-10"/>
        </w:rPr>
        <w:drawing>
          <wp:inline distT="0" distB="0" distL="0" distR="0">
            <wp:extent cx="257175" cy="228600"/>
            <wp:effectExtent l="0" t="0" r="9525" b="0"/>
            <wp:docPr id="250" name="Рисунок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t xml:space="preserve"> равна 0,61% и </w:t>
      </w:r>
      <w:r>
        <w:rPr>
          <w:i/>
          <w:iCs/>
        </w:rPr>
        <w:t>u</w:t>
      </w:r>
      <w:r w:rsidR="00862BD0">
        <w:rPr>
          <w:noProof/>
          <w:position w:val="-10"/>
        </w:rPr>
        <w:drawing>
          <wp:inline distT="0" distB="0" distL="0" distR="0">
            <wp:extent cx="161925" cy="228600"/>
            <wp:effectExtent l="0" t="0" r="9525" b="0"/>
            <wp:docPr id="251" name="Рисунок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и </w:t>
      </w:r>
      <w:r>
        <w:rPr>
          <w:i/>
          <w:iCs/>
        </w:rPr>
        <w:t>u</w:t>
      </w:r>
      <w:r w:rsidR="00862BD0">
        <w:rPr>
          <w:noProof/>
          <w:position w:val="-10"/>
        </w:rPr>
        <w:drawing>
          <wp:inline distT="0" distB="0" distL="0" distR="0">
            <wp:extent cx="152400" cy="228600"/>
            <wp:effectExtent l="0" t="0" r="0" b="0"/>
            <wp:docPr id="252" name="Рисунок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t xml:space="preserve"> равны 0,29 и 0,78% </w:t>
      </w:r>
      <w:proofErr w:type="spellStart"/>
      <w:r>
        <w:t>отн</w:t>
      </w:r>
      <w:proofErr w:type="spellEnd"/>
      <w:r>
        <w:t xml:space="preserve">. соответственно. Таким </w:t>
      </w:r>
      <w:r>
        <w:t xml:space="preserve">образом, установлено, что расширенная неопределенность </w:t>
      </w:r>
      <w:r>
        <w:rPr>
          <w:i/>
          <w:iCs/>
        </w:rPr>
        <w:t>U</w:t>
      </w:r>
      <w:r w:rsidR="00862BD0">
        <w:rPr>
          <w:noProof/>
          <w:position w:val="-10"/>
        </w:rPr>
        <w:drawing>
          <wp:inline distT="0" distB="0" distL="0" distR="0">
            <wp:extent cx="304800" cy="228600"/>
            <wp:effectExtent l="0" t="0" r="0" b="0"/>
            <wp:docPr id="253" name="Рисунок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228600"/>
                    </a:xfrm>
                    <a:prstGeom prst="rect">
                      <a:avLst/>
                    </a:prstGeom>
                    <a:noFill/>
                    <a:ln>
                      <a:noFill/>
                    </a:ln>
                  </pic:spPr>
                </pic:pic>
              </a:graphicData>
            </a:graphic>
          </wp:inline>
        </w:drawing>
      </w:r>
      <w:r>
        <w:t xml:space="preserve"> равна</w:t>
      </w:r>
      <w:r w:rsidR="00862BD0">
        <w:rPr>
          <w:noProof/>
          <w:position w:val="-9"/>
        </w:rPr>
        <w:drawing>
          <wp:inline distT="0" distB="0" distL="0" distR="0">
            <wp:extent cx="85725" cy="219075"/>
            <wp:effectExtent l="0" t="0" r="9525" b="9525"/>
            <wp:docPr id="254" name="Рисунок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t xml:space="preserve">: </w:t>
      </w:r>
    </w:p>
    <w:p w:rsidR="00000000" w:rsidRDefault="005829C2">
      <w:pPr>
        <w:pStyle w:val="FORMATTEXT"/>
        <w:jc w:val="both"/>
      </w:pPr>
      <w:r>
        <w:t xml:space="preserve">________________ </w:t>
      </w:r>
    </w:p>
    <w:p w:rsidR="00000000" w:rsidRDefault="00862BD0">
      <w:pPr>
        <w:pStyle w:val="FORMATTEXT"/>
        <w:ind w:firstLine="568"/>
        <w:jc w:val="both"/>
      </w:pPr>
      <w:r>
        <w:rPr>
          <w:noProof/>
          <w:position w:val="-9"/>
        </w:rPr>
        <w:drawing>
          <wp:inline distT="0" distB="0" distL="0" distR="0">
            <wp:extent cx="85725" cy="219075"/>
            <wp:effectExtent l="0" t="0" r="9525" b="9525"/>
            <wp:docPr id="255" name="Рисунок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rsidR="005829C2">
        <w:t>Единица IU/L (международная единица на литр) - это единица активнос</w:t>
      </w:r>
      <w:r w:rsidR="005829C2">
        <w:t>ти ферментов.</w:t>
      </w:r>
    </w:p>
    <w:p w:rsidR="00000000" w:rsidRDefault="005829C2">
      <w:pPr>
        <w:pStyle w:val="FORMATTEXT"/>
        <w:ind w:firstLine="568"/>
        <w:jc w:val="both"/>
      </w:pPr>
    </w:p>
    <w:p w:rsidR="00000000" w:rsidRDefault="00862BD0">
      <w:pPr>
        <w:pStyle w:val="FORMATTEXT"/>
        <w:jc w:val="center"/>
      </w:pPr>
      <w:r>
        <w:rPr>
          <w:noProof/>
          <w:position w:val="-14"/>
        </w:rPr>
        <w:drawing>
          <wp:inline distT="0" distB="0" distL="0" distR="0">
            <wp:extent cx="3000375" cy="333375"/>
            <wp:effectExtent l="0" t="0" r="9525" b="9525"/>
            <wp:docPr id="256" name="Рисунок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3000375" cy="333375"/>
                    </a:xfrm>
                    <a:prstGeom prst="rect">
                      <a:avLst/>
                    </a:prstGeom>
                    <a:noFill/>
                    <a:ln>
                      <a:noFill/>
                    </a:ln>
                  </pic:spPr>
                </pic:pic>
              </a:graphicData>
            </a:graphic>
          </wp:inline>
        </w:drawing>
      </w:r>
      <w:r w:rsidR="005829C2">
        <w:t>IU/L.</w:t>
      </w:r>
    </w:p>
    <w:p w:rsidR="00000000" w:rsidRDefault="005829C2">
      <w:pPr>
        <w:pStyle w:val="FORMATTEXT"/>
        <w:ind w:firstLine="568"/>
        <w:jc w:val="both"/>
      </w:pPr>
      <w:r>
        <w:t>Эта неопределенность основана на сроке хранения 6 лет. Срок хранения может быть увеличен, если будет получено дальнейшее доказательство стабильности материала [46], [47].</w:t>
      </w:r>
    </w:p>
    <w:p w:rsidR="00000000" w:rsidRDefault="005829C2">
      <w:pPr>
        <w:pStyle w:val="FORMATTEXT"/>
        <w:ind w:firstLine="568"/>
        <w:jc w:val="both"/>
      </w:pPr>
    </w:p>
    <w:p w:rsidR="00000000" w:rsidRDefault="005829C2">
      <w:pPr>
        <w:pStyle w:val="FORMATTEXT"/>
        <w:ind w:firstLine="568"/>
        <w:jc w:val="both"/>
      </w:pPr>
      <w:r>
        <w:rPr>
          <w:b/>
          <w:bCs/>
        </w:rPr>
        <w:t>В.3 Исследование однороднос</w:t>
      </w:r>
      <w:r>
        <w:rPr>
          <w:b/>
          <w:bCs/>
        </w:rPr>
        <w:t>ти</w:t>
      </w:r>
    </w:p>
    <w:p w:rsidR="00000000" w:rsidRDefault="005829C2">
      <w:pPr>
        <w:pStyle w:val="FORMATTEXT"/>
        <w:ind w:firstLine="568"/>
        <w:jc w:val="both"/>
      </w:pPr>
    </w:p>
    <w:p w:rsidR="00000000" w:rsidRDefault="005829C2">
      <w:pPr>
        <w:pStyle w:val="FORMATTEXT"/>
        <w:ind w:firstLine="568"/>
        <w:jc w:val="both"/>
      </w:pPr>
      <w:r>
        <w:t>В рамках проекта по разработке СО содержания хрома в почве проведено исследование однородности между экземплярами. В таблице В.1 приведены результаты исследования однородности.</w:t>
      </w:r>
    </w:p>
    <w:p w:rsidR="00000000" w:rsidRDefault="005829C2">
      <w:pPr>
        <w:pStyle w:val="FORMATTEXT"/>
        <w:ind w:firstLine="568"/>
        <w:jc w:val="both"/>
      </w:pPr>
    </w:p>
    <w:p w:rsidR="00000000" w:rsidRDefault="005829C2">
      <w:pPr>
        <w:pStyle w:val="FORMATTEXT"/>
        <w:jc w:val="both"/>
      </w:pPr>
      <w:r>
        <w:t xml:space="preserve">Таблица В.1 - Результаты исследования </w:t>
      </w:r>
      <w:proofErr w:type="spellStart"/>
      <w:r>
        <w:t>межэкземплярной</w:t>
      </w:r>
      <w:proofErr w:type="spellEnd"/>
      <w:r>
        <w:t xml:space="preserve"> однородности содержа</w:t>
      </w:r>
      <w:r>
        <w:t>ния хрома в почве</w:t>
      </w:r>
    </w:p>
    <w:p w:rsidR="00000000" w:rsidRDefault="005829C2">
      <w:pPr>
        <w:pStyle w:val="FORMATTEXT"/>
        <w:jc w:val="right"/>
      </w:pPr>
      <w:r>
        <w:t>Размеры в миллиграммах на килограмм</w:t>
      </w:r>
    </w:p>
    <w:tbl>
      <w:tblPr>
        <w:tblW w:w="0" w:type="auto"/>
        <w:tblInd w:w="28" w:type="dxa"/>
        <w:tblLayout w:type="fixed"/>
        <w:tblCellMar>
          <w:left w:w="90" w:type="dxa"/>
          <w:right w:w="90" w:type="dxa"/>
        </w:tblCellMar>
        <w:tblLook w:val="0000" w:firstRow="0" w:lastRow="0" w:firstColumn="0" w:lastColumn="0" w:noHBand="0" w:noVBand="0"/>
      </w:tblPr>
      <w:tblGrid>
        <w:gridCol w:w="2475"/>
        <w:gridCol w:w="2295"/>
        <w:gridCol w:w="2295"/>
        <w:gridCol w:w="2025"/>
      </w:tblGrid>
      <w:tr w:rsidR="00000000">
        <w:tblPrEx>
          <w:tblCellMar>
            <w:top w:w="0" w:type="dxa"/>
            <w:bottom w:w="0" w:type="dxa"/>
          </w:tblCellMar>
        </w:tblPrEx>
        <w:tc>
          <w:tcPr>
            <w:tcW w:w="247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229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229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202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24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Экземпляр N</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Результат N 1 </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Результат N 2 </w:t>
            </w:r>
          </w:p>
        </w:tc>
        <w:tc>
          <w:tcPr>
            <w:tcW w:w="20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Результат N 3 </w:t>
            </w:r>
          </w:p>
        </w:tc>
      </w:tr>
      <w:tr w:rsidR="00000000">
        <w:tblPrEx>
          <w:tblCellMar>
            <w:top w:w="0" w:type="dxa"/>
            <w:bottom w:w="0" w:type="dxa"/>
          </w:tblCellMar>
        </w:tblPrEx>
        <w:tc>
          <w:tcPr>
            <w:tcW w:w="24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121,30 </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128,74 </w:t>
            </w:r>
          </w:p>
        </w:tc>
        <w:tc>
          <w:tcPr>
            <w:tcW w:w="20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119,91 </w:t>
            </w:r>
          </w:p>
        </w:tc>
      </w:tr>
      <w:tr w:rsidR="00000000">
        <w:tblPrEx>
          <w:tblCellMar>
            <w:top w:w="0" w:type="dxa"/>
            <w:bottom w:w="0" w:type="dxa"/>
          </w:tblCellMar>
        </w:tblPrEx>
        <w:tc>
          <w:tcPr>
            <w:tcW w:w="24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2</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120,87 </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121,32 </w:t>
            </w:r>
          </w:p>
        </w:tc>
        <w:tc>
          <w:tcPr>
            <w:tcW w:w="20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119,24 </w:t>
            </w:r>
          </w:p>
        </w:tc>
      </w:tr>
      <w:tr w:rsidR="00000000">
        <w:tblPrEx>
          <w:tblCellMar>
            <w:top w:w="0" w:type="dxa"/>
            <w:bottom w:w="0" w:type="dxa"/>
          </w:tblCellMar>
        </w:tblPrEx>
        <w:tc>
          <w:tcPr>
            <w:tcW w:w="24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3</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122,44 </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122,96 </w:t>
            </w:r>
          </w:p>
        </w:tc>
        <w:tc>
          <w:tcPr>
            <w:tcW w:w="20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123,45 </w:t>
            </w:r>
          </w:p>
        </w:tc>
      </w:tr>
      <w:tr w:rsidR="00000000">
        <w:tblPrEx>
          <w:tblCellMar>
            <w:top w:w="0" w:type="dxa"/>
            <w:bottom w:w="0" w:type="dxa"/>
          </w:tblCellMar>
        </w:tblPrEx>
        <w:tc>
          <w:tcPr>
            <w:tcW w:w="24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4</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117,60 </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119,66 </w:t>
            </w:r>
          </w:p>
        </w:tc>
        <w:tc>
          <w:tcPr>
            <w:tcW w:w="20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118,96 </w:t>
            </w:r>
          </w:p>
        </w:tc>
      </w:tr>
      <w:tr w:rsidR="00000000">
        <w:tblPrEx>
          <w:tblCellMar>
            <w:top w:w="0" w:type="dxa"/>
            <w:bottom w:w="0" w:type="dxa"/>
          </w:tblCellMar>
        </w:tblPrEx>
        <w:tc>
          <w:tcPr>
            <w:tcW w:w="24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5</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110,65 </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112,34 </w:t>
            </w:r>
          </w:p>
        </w:tc>
        <w:tc>
          <w:tcPr>
            <w:tcW w:w="20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110,29 </w:t>
            </w:r>
          </w:p>
        </w:tc>
      </w:tr>
      <w:tr w:rsidR="00000000">
        <w:tblPrEx>
          <w:tblCellMar>
            <w:top w:w="0" w:type="dxa"/>
            <w:bottom w:w="0" w:type="dxa"/>
          </w:tblCellMar>
        </w:tblPrEx>
        <w:tc>
          <w:tcPr>
            <w:tcW w:w="24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6</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117,29 </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120,79 </w:t>
            </w:r>
          </w:p>
        </w:tc>
        <w:tc>
          <w:tcPr>
            <w:tcW w:w="20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121,42 </w:t>
            </w:r>
          </w:p>
        </w:tc>
      </w:tr>
      <w:tr w:rsidR="00000000">
        <w:tblPrEx>
          <w:tblCellMar>
            <w:top w:w="0" w:type="dxa"/>
            <w:bottom w:w="0" w:type="dxa"/>
          </w:tblCellMar>
        </w:tblPrEx>
        <w:tc>
          <w:tcPr>
            <w:tcW w:w="24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7</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115,27 </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121,45 </w:t>
            </w:r>
          </w:p>
        </w:tc>
        <w:tc>
          <w:tcPr>
            <w:tcW w:w="20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117,48 </w:t>
            </w:r>
          </w:p>
        </w:tc>
      </w:tr>
      <w:tr w:rsidR="00000000">
        <w:tblPrEx>
          <w:tblCellMar>
            <w:top w:w="0" w:type="dxa"/>
            <w:bottom w:w="0" w:type="dxa"/>
          </w:tblCellMar>
        </w:tblPrEx>
        <w:tc>
          <w:tcPr>
            <w:tcW w:w="24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8</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118,96 </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123,78 </w:t>
            </w:r>
          </w:p>
        </w:tc>
        <w:tc>
          <w:tcPr>
            <w:tcW w:w="20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123,29 </w:t>
            </w:r>
          </w:p>
        </w:tc>
      </w:tr>
      <w:tr w:rsidR="00000000">
        <w:tblPrEx>
          <w:tblCellMar>
            <w:top w:w="0" w:type="dxa"/>
            <w:bottom w:w="0" w:type="dxa"/>
          </w:tblCellMar>
        </w:tblPrEx>
        <w:tc>
          <w:tcPr>
            <w:tcW w:w="24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9</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118,67 </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116,67 </w:t>
            </w:r>
          </w:p>
        </w:tc>
        <w:tc>
          <w:tcPr>
            <w:tcW w:w="20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114,58 </w:t>
            </w:r>
          </w:p>
        </w:tc>
      </w:tr>
      <w:tr w:rsidR="00000000">
        <w:tblPrEx>
          <w:tblCellMar>
            <w:top w:w="0" w:type="dxa"/>
            <w:bottom w:w="0" w:type="dxa"/>
          </w:tblCellMar>
        </w:tblPrEx>
        <w:tc>
          <w:tcPr>
            <w:tcW w:w="24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10</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126,24 </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123,51 </w:t>
            </w:r>
          </w:p>
        </w:tc>
        <w:tc>
          <w:tcPr>
            <w:tcW w:w="20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126,20 </w:t>
            </w:r>
          </w:p>
        </w:tc>
      </w:tr>
      <w:tr w:rsidR="00000000">
        <w:tblPrEx>
          <w:tblCellMar>
            <w:top w:w="0" w:type="dxa"/>
            <w:bottom w:w="0" w:type="dxa"/>
          </w:tblCellMar>
        </w:tblPrEx>
        <w:tc>
          <w:tcPr>
            <w:tcW w:w="24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11</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128,65 </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122,02 </w:t>
            </w:r>
          </w:p>
        </w:tc>
        <w:tc>
          <w:tcPr>
            <w:tcW w:w="20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121,93 </w:t>
            </w:r>
          </w:p>
        </w:tc>
      </w:tr>
      <w:tr w:rsidR="00000000">
        <w:tblPrEx>
          <w:tblCellMar>
            <w:top w:w="0" w:type="dxa"/>
            <w:bottom w:w="0" w:type="dxa"/>
          </w:tblCellMar>
        </w:tblPrEx>
        <w:tc>
          <w:tcPr>
            <w:tcW w:w="24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12</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126,84 </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124,72 </w:t>
            </w:r>
          </w:p>
        </w:tc>
        <w:tc>
          <w:tcPr>
            <w:tcW w:w="20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123,14 </w:t>
            </w:r>
          </w:p>
        </w:tc>
      </w:tr>
      <w:tr w:rsidR="00000000">
        <w:tblPrEx>
          <w:tblCellMar>
            <w:top w:w="0" w:type="dxa"/>
            <w:bottom w:w="0" w:type="dxa"/>
          </w:tblCellMar>
        </w:tblPrEx>
        <w:tc>
          <w:tcPr>
            <w:tcW w:w="24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13</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122,61 </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128,48 </w:t>
            </w:r>
          </w:p>
        </w:tc>
        <w:tc>
          <w:tcPr>
            <w:tcW w:w="20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126,20 </w:t>
            </w:r>
          </w:p>
        </w:tc>
      </w:tr>
      <w:tr w:rsidR="00000000">
        <w:tblPrEx>
          <w:tblCellMar>
            <w:top w:w="0" w:type="dxa"/>
            <w:bottom w:w="0" w:type="dxa"/>
          </w:tblCellMar>
        </w:tblPrEx>
        <w:tc>
          <w:tcPr>
            <w:tcW w:w="24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14</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118,95 </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123,82 </w:t>
            </w:r>
          </w:p>
        </w:tc>
        <w:tc>
          <w:tcPr>
            <w:tcW w:w="20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118,11 </w:t>
            </w:r>
          </w:p>
        </w:tc>
      </w:tr>
      <w:tr w:rsidR="00000000">
        <w:tblPrEx>
          <w:tblCellMar>
            <w:top w:w="0" w:type="dxa"/>
            <w:bottom w:w="0" w:type="dxa"/>
          </w:tblCellMar>
        </w:tblPrEx>
        <w:tc>
          <w:tcPr>
            <w:tcW w:w="24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15</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118,74 </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118,23 </w:t>
            </w:r>
          </w:p>
        </w:tc>
        <w:tc>
          <w:tcPr>
            <w:tcW w:w="20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117,38 </w:t>
            </w:r>
          </w:p>
        </w:tc>
      </w:tr>
      <w:tr w:rsidR="00000000">
        <w:tblPrEx>
          <w:tblCellMar>
            <w:top w:w="0" w:type="dxa"/>
            <w:bottom w:w="0" w:type="dxa"/>
          </w:tblCellMar>
        </w:tblPrEx>
        <w:tc>
          <w:tcPr>
            <w:tcW w:w="24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16</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119,74 </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121,78 </w:t>
            </w:r>
          </w:p>
        </w:tc>
        <w:tc>
          <w:tcPr>
            <w:tcW w:w="20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121,01 </w:t>
            </w:r>
          </w:p>
        </w:tc>
      </w:tr>
      <w:tr w:rsidR="00000000">
        <w:tblPrEx>
          <w:tblCellMar>
            <w:top w:w="0" w:type="dxa"/>
            <w:bottom w:w="0" w:type="dxa"/>
          </w:tblCellMar>
        </w:tblPrEx>
        <w:tc>
          <w:tcPr>
            <w:tcW w:w="24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17</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121,21 </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123,28 </w:t>
            </w:r>
          </w:p>
        </w:tc>
        <w:tc>
          <w:tcPr>
            <w:tcW w:w="20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116,38 </w:t>
            </w:r>
          </w:p>
        </w:tc>
      </w:tr>
      <w:tr w:rsidR="00000000">
        <w:tblPrEx>
          <w:tblCellMar>
            <w:top w:w="0" w:type="dxa"/>
            <w:bottom w:w="0" w:type="dxa"/>
          </w:tblCellMar>
        </w:tblPrEx>
        <w:tc>
          <w:tcPr>
            <w:tcW w:w="24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18</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129,30 </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124,10 </w:t>
            </w:r>
          </w:p>
        </w:tc>
        <w:tc>
          <w:tcPr>
            <w:tcW w:w="20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122,02 </w:t>
            </w:r>
          </w:p>
        </w:tc>
      </w:tr>
      <w:tr w:rsidR="00000000">
        <w:tblPrEx>
          <w:tblCellMar>
            <w:top w:w="0" w:type="dxa"/>
            <w:bottom w:w="0" w:type="dxa"/>
          </w:tblCellMar>
        </w:tblPrEx>
        <w:tc>
          <w:tcPr>
            <w:tcW w:w="24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19</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136,81 </w:t>
            </w:r>
          </w:p>
        </w:tc>
        <w:tc>
          <w:tcPr>
            <w:tcW w:w="22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129,80 </w:t>
            </w:r>
          </w:p>
        </w:tc>
        <w:tc>
          <w:tcPr>
            <w:tcW w:w="20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128,47 </w:t>
            </w:r>
          </w:p>
        </w:tc>
      </w:tr>
      <w:tr w:rsidR="00000000">
        <w:tblPrEx>
          <w:tblCellMar>
            <w:top w:w="0" w:type="dxa"/>
            <w:bottom w:w="0" w:type="dxa"/>
          </w:tblCellMar>
        </w:tblPrEx>
        <w:tc>
          <w:tcPr>
            <w:tcW w:w="2475"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20</w:t>
            </w:r>
          </w:p>
        </w:tc>
        <w:tc>
          <w:tcPr>
            <w:tcW w:w="2295"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127,81 </w:t>
            </w:r>
          </w:p>
        </w:tc>
        <w:tc>
          <w:tcPr>
            <w:tcW w:w="2295"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117,66 </w:t>
            </w:r>
          </w:p>
        </w:tc>
        <w:tc>
          <w:tcPr>
            <w:tcW w:w="20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122,90 </w:t>
            </w:r>
          </w:p>
        </w:tc>
      </w:tr>
    </w:tbl>
    <w:p w:rsidR="00000000" w:rsidRDefault="005829C2">
      <w:pPr>
        <w:pStyle w:val="a3"/>
      </w:pPr>
    </w:p>
    <w:p w:rsidR="00000000" w:rsidRDefault="005829C2">
      <w:pPr>
        <w:pStyle w:val="FORMATTEXT"/>
        <w:ind w:firstLine="568"/>
        <w:jc w:val="both"/>
      </w:pPr>
      <w:r>
        <w:t xml:space="preserve">Данные можно также </w:t>
      </w:r>
      <w:proofErr w:type="gramStart"/>
      <w:r>
        <w:t>представить</w:t>
      </w:r>
      <w:proofErr w:type="gramEnd"/>
      <w:r>
        <w:t xml:space="preserve"> как группу средних значений, стандартных отклонений и членов в каж</w:t>
      </w:r>
      <w:r>
        <w:t>дой группе. Из таблицы В.1 получена таблица В.2 путем расчета для каждого экземпляра среднего значения, стандартного отклонения и ряда определений.</w:t>
      </w:r>
    </w:p>
    <w:p w:rsidR="00000000" w:rsidRDefault="005829C2">
      <w:pPr>
        <w:pStyle w:val="FORMATTEXT"/>
        <w:ind w:firstLine="568"/>
        <w:jc w:val="both"/>
      </w:pPr>
    </w:p>
    <w:p w:rsidR="00000000" w:rsidRDefault="005829C2">
      <w:pPr>
        <w:pStyle w:val="FORMATTEXT"/>
        <w:jc w:val="both"/>
      </w:pPr>
      <w:r>
        <w:t>Таблица В.2 - Среднее, дисперсия и число результатов, полученных для экземпляра</w:t>
      </w:r>
    </w:p>
    <w:p w:rsidR="00000000" w:rsidRDefault="005829C2">
      <w:pPr>
        <w:pStyle w:val="FORMATTEXT"/>
        <w:jc w:val="right"/>
      </w:pPr>
      <w:r>
        <w:t>Размеры в миллиграммах на к</w:t>
      </w:r>
      <w:r>
        <w:t>илограмм</w:t>
      </w:r>
    </w:p>
    <w:tbl>
      <w:tblPr>
        <w:tblW w:w="0" w:type="auto"/>
        <w:tblInd w:w="28" w:type="dxa"/>
        <w:tblLayout w:type="fixed"/>
        <w:tblCellMar>
          <w:left w:w="90" w:type="dxa"/>
          <w:right w:w="90" w:type="dxa"/>
        </w:tblCellMar>
        <w:tblLook w:val="0000" w:firstRow="0" w:lastRow="0" w:firstColumn="0" w:lastColumn="0" w:noHBand="0" w:noVBand="0"/>
      </w:tblPr>
      <w:tblGrid>
        <w:gridCol w:w="2565"/>
        <w:gridCol w:w="2160"/>
        <w:gridCol w:w="2085"/>
        <w:gridCol w:w="2070"/>
      </w:tblGrid>
      <w:tr w:rsidR="00000000">
        <w:tblPrEx>
          <w:tblCellMar>
            <w:top w:w="0" w:type="dxa"/>
            <w:bottom w:w="0" w:type="dxa"/>
          </w:tblCellMar>
        </w:tblPrEx>
        <w:tc>
          <w:tcPr>
            <w:tcW w:w="256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2160"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208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2070"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256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Экземпляр N</w:t>
            </w:r>
          </w:p>
        </w:tc>
        <w:tc>
          <w:tcPr>
            <w:tcW w:w="216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Среднее </w:t>
            </w:r>
          </w:p>
        </w:tc>
        <w:tc>
          <w:tcPr>
            <w:tcW w:w="208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Дисперсия </w:t>
            </w:r>
          </w:p>
        </w:tc>
        <w:tc>
          <w:tcPr>
            <w:tcW w:w="20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Счет </w:t>
            </w:r>
          </w:p>
        </w:tc>
      </w:tr>
      <w:tr w:rsidR="00000000">
        <w:tblPrEx>
          <w:tblCellMar>
            <w:top w:w="0" w:type="dxa"/>
            <w:bottom w:w="0" w:type="dxa"/>
          </w:tblCellMar>
        </w:tblPrEx>
        <w:tc>
          <w:tcPr>
            <w:tcW w:w="256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w:t>
            </w:r>
          </w:p>
        </w:tc>
        <w:tc>
          <w:tcPr>
            <w:tcW w:w="216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123,32 </w:t>
            </w:r>
          </w:p>
        </w:tc>
        <w:tc>
          <w:tcPr>
            <w:tcW w:w="208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22,54 </w:t>
            </w:r>
          </w:p>
        </w:tc>
        <w:tc>
          <w:tcPr>
            <w:tcW w:w="20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3 </w:t>
            </w:r>
          </w:p>
        </w:tc>
      </w:tr>
      <w:tr w:rsidR="00000000">
        <w:tblPrEx>
          <w:tblCellMar>
            <w:top w:w="0" w:type="dxa"/>
            <w:bottom w:w="0" w:type="dxa"/>
          </w:tblCellMar>
        </w:tblPrEx>
        <w:tc>
          <w:tcPr>
            <w:tcW w:w="256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2</w:t>
            </w:r>
          </w:p>
        </w:tc>
        <w:tc>
          <w:tcPr>
            <w:tcW w:w="216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120,48 </w:t>
            </w:r>
          </w:p>
        </w:tc>
        <w:tc>
          <w:tcPr>
            <w:tcW w:w="208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1,20 </w:t>
            </w:r>
          </w:p>
        </w:tc>
        <w:tc>
          <w:tcPr>
            <w:tcW w:w="20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3 </w:t>
            </w:r>
          </w:p>
        </w:tc>
      </w:tr>
      <w:tr w:rsidR="00000000">
        <w:tblPrEx>
          <w:tblCellMar>
            <w:top w:w="0" w:type="dxa"/>
            <w:bottom w:w="0" w:type="dxa"/>
          </w:tblCellMar>
        </w:tblPrEx>
        <w:tc>
          <w:tcPr>
            <w:tcW w:w="256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3</w:t>
            </w:r>
          </w:p>
        </w:tc>
        <w:tc>
          <w:tcPr>
            <w:tcW w:w="216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122,95 </w:t>
            </w:r>
          </w:p>
        </w:tc>
        <w:tc>
          <w:tcPr>
            <w:tcW w:w="208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0,26 </w:t>
            </w:r>
          </w:p>
        </w:tc>
        <w:tc>
          <w:tcPr>
            <w:tcW w:w="20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3 </w:t>
            </w:r>
          </w:p>
        </w:tc>
      </w:tr>
      <w:tr w:rsidR="00000000">
        <w:tblPrEx>
          <w:tblCellMar>
            <w:top w:w="0" w:type="dxa"/>
            <w:bottom w:w="0" w:type="dxa"/>
          </w:tblCellMar>
        </w:tblPrEx>
        <w:tc>
          <w:tcPr>
            <w:tcW w:w="256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4</w:t>
            </w:r>
          </w:p>
        </w:tc>
        <w:tc>
          <w:tcPr>
            <w:tcW w:w="216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118,74 </w:t>
            </w:r>
          </w:p>
        </w:tc>
        <w:tc>
          <w:tcPr>
            <w:tcW w:w="208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1,10 </w:t>
            </w:r>
          </w:p>
        </w:tc>
        <w:tc>
          <w:tcPr>
            <w:tcW w:w="20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3 </w:t>
            </w:r>
          </w:p>
        </w:tc>
      </w:tr>
      <w:tr w:rsidR="00000000">
        <w:tblPrEx>
          <w:tblCellMar>
            <w:top w:w="0" w:type="dxa"/>
            <w:bottom w:w="0" w:type="dxa"/>
          </w:tblCellMar>
        </w:tblPrEx>
        <w:tc>
          <w:tcPr>
            <w:tcW w:w="256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5</w:t>
            </w:r>
          </w:p>
        </w:tc>
        <w:tc>
          <w:tcPr>
            <w:tcW w:w="216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111,09 </w:t>
            </w:r>
          </w:p>
        </w:tc>
        <w:tc>
          <w:tcPr>
            <w:tcW w:w="208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1,20 </w:t>
            </w:r>
          </w:p>
        </w:tc>
        <w:tc>
          <w:tcPr>
            <w:tcW w:w="20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3 </w:t>
            </w:r>
          </w:p>
        </w:tc>
      </w:tr>
      <w:tr w:rsidR="00000000">
        <w:tblPrEx>
          <w:tblCellMar>
            <w:top w:w="0" w:type="dxa"/>
            <w:bottom w:w="0" w:type="dxa"/>
          </w:tblCellMar>
        </w:tblPrEx>
        <w:tc>
          <w:tcPr>
            <w:tcW w:w="256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lastRenderedPageBreak/>
              <w:t>6</w:t>
            </w:r>
          </w:p>
        </w:tc>
        <w:tc>
          <w:tcPr>
            <w:tcW w:w="216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119,83 </w:t>
            </w:r>
          </w:p>
        </w:tc>
        <w:tc>
          <w:tcPr>
            <w:tcW w:w="208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4,95 </w:t>
            </w:r>
          </w:p>
        </w:tc>
        <w:tc>
          <w:tcPr>
            <w:tcW w:w="20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3 </w:t>
            </w:r>
          </w:p>
        </w:tc>
      </w:tr>
      <w:tr w:rsidR="00000000">
        <w:tblPrEx>
          <w:tblCellMar>
            <w:top w:w="0" w:type="dxa"/>
            <w:bottom w:w="0" w:type="dxa"/>
          </w:tblCellMar>
        </w:tblPrEx>
        <w:tc>
          <w:tcPr>
            <w:tcW w:w="256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7</w:t>
            </w:r>
          </w:p>
        </w:tc>
        <w:tc>
          <w:tcPr>
            <w:tcW w:w="216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118,07 </w:t>
            </w:r>
          </w:p>
        </w:tc>
        <w:tc>
          <w:tcPr>
            <w:tcW w:w="208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9,81 </w:t>
            </w:r>
          </w:p>
        </w:tc>
        <w:tc>
          <w:tcPr>
            <w:tcW w:w="20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3 </w:t>
            </w:r>
          </w:p>
        </w:tc>
      </w:tr>
      <w:tr w:rsidR="00000000">
        <w:tblPrEx>
          <w:tblCellMar>
            <w:top w:w="0" w:type="dxa"/>
            <w:bottom w:w="0" w:type="dxa"/>
          </w:tblCellMar>
        </w:tblPrEx>
        <w:tc>
          <w:tcPr>
            <w:tcW w:w="256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8</w:t>
            </w:r>
          </w:p>
        </w:tc>
        <w:tc>
          <w:tcPr>
            <w:tcW w:w="216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122,01 </w:t>
            </w:r>
          </w:p>
        </w:tc>
        <w:tc>
          <w:tcPr>
            <w:tcW w:w="208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7,04 </w:t>
            </w:r>
          </w:p>
        </w:tc>
        <w:tc>
          <w:tcPr>
            <w:tcW w:w="20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3 </w:t>
            </w:r>
          </w:p>
        </w:tc>
      </w:tr>
      <w:tr w:rsidR="00000000">
        <w:tblPrEx>
          <w:tblCellMar>
            <w:top w:w="0" w:type="dxa"/>
            <w:bottom w:w="0" w:type="dxa"/>
          </w:tblCellMar>
        </w:tblPrEx>
        <w:tc>
          <w:tcPr>
            <w:tcW w:w="256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9</w:t>
            </w:r>
          </w:p>
        </w:tc>
        <w:tc>
          <w:tcPr>
            <w:tcW w:w="216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116,64 </w:t>
            </w:r>
          </w:p>
        </w:tc>
        <w:tc>
          <w:tcPr>
            <w:tcW w:w="208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4,18 </w:t>
            </w:r>
          </w:p>
        </w:tc>
        <w:tc>
          <w:tcPr>
            <w:tcW w:w="20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3 </w:t>
            </w:r>
          </w:p>
        </w:tc>
      </w:tr>
      <w:tr w:rsidR="00000000">
        <w:tblPrEx>
          <w:tblCellMar>
            <w:top w:w="0" w:type="dxa"/>
            <w:bottom w:w="0" w:type="dxa"/>
          </w:tblCellMar>
        </w:tblPrEx>
        <w:tc>
          <w:tcPr>
            <w:tcW w:w="256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10</w:t>
            </w:r>
          </w:p>
        </w:tc>
        <w:tc>
          <w:tcPr>
            <w:tcW w:w="216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125,32 </w:t>
            </w:r>
          </w:p>
        </w:tc>
        <w:tc>
          <w:tcPr>
            <w:tcW w:w="208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2,45 </w:t>
            </w:r>
          </w:p>
        </w:tc>
        <w:tc>
          <w:tcPr>
            <w:tcW w:w="20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3 </w:t>
            </w:r>
          </w:p>
        </w:tc>
      </w:tr>
      <w:tr w:rsidR="00000000">
        <w:tblPrEx>
          <w:tblCellMar>
            <w:top w:w="0" w:type="dxa"/>
            <w:bottom w:w="0" w:type="dxa"/>
          </w:tblCellMar>
        </w:tblPrEx>
        <w:tc>
          <w:tcPr>
            <w:tcW w:w="256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11</w:t>
            </w:r>
          </w:p>
        </w:tc>
        <w:tc>
          <w:tcPr>
            <w:tcW w:w="216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124,20 </w:t>
            </w:r>
          </w:p>
        </w:tc>
        <w:tc>
          <w:tcPr>
            <w:tcW w:w="208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14,85 </w:t>
            </w:r>
          </w:p>
        </w:tc>
        <w:tc>
          <w:tcPr>
            <w:tcW w:w="20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3 </w:t>
            </w:r>
          </w:p>
        </w:tc>
      </w:tr>
      <w:tr w:rsidR="00000000">
        <w:tblPrEx>
          <w:tblCellMar>
            <w:top w:w="0" w:type="dxa"/>
            <w:bottom w:w="0" w:type="dxa"/>
          </w:tblCellMar>
        </w:tblPrEx>
        <w:tc>
          <w:tcPr>
            <w:tcW w:w="256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12</w:t>
            </w:r>
          </w:p>
        </w:tc>
        <w:tc>
          <w:tcPr>
            <w:tcW w:w="216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124,90 </w:t>
            </w:r>
          </w:p>
        </w:tc>
        <w:tc>
          <w:tcPr>
            <w:tcW w:w="208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3,45 </w:t>
            </w:r>
          </w:p>
        </w:tc>
        <w:tc>
          <w:tcPr>
            <w:tcW w:w="20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3 </w:t>
            </w:r>
          </w:p>
        </w:tc>
      </w:tr>
      <w:tr w:rsidR="00000000">
        <w:tblPrEx>
          <w:tblCellMar>
            <w:top w:w="0" w:type="dxa"/>
            <w:bottom w:w="0" w:type="dxa"/>
          </w:tblCellMar>
        </w:tblPrEx>
        <w:tc>
          <w:tcPr>
            <w:tcW w:w="256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13</w:t>
            </w:r>
          </w:p>
        </w:tc>
        <w:tc>
          <w:tcPr>
            <w:tcW w:w="216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125,76 </w:t>
            </w:r>
          </w:p>
        </w:tc>
        <w:tc>
          <w:tcPr>
            <w:tcW w:w="208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8,76 </w:t>
            </w:r>
          </w:p>
        </w:tc>
        <w:tc>
          <w:tcPr>
            <w:tcW w:w="20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3 </w:t>
            </w:r>
          </w:p>
        </w:tc>
      </w:tr>
      <w:tr w:rsidR="00000000">
        <w:tblPrEx>
          <w:tblCellMar>
            <w:top w:w="0" w:type="dxa"/>
            <w:bottom w:w="0" w:type="dxa"/>
          </w:tblCellMar>
        </w:tblPrEx>
        <w:tc>
          <w:tcPr>
            <w:tcW w:w="256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14</w:t>
            </w:r>
          </w:p>
        </w:tc>
        <w:tc>
          <w:tcPr>
            <w:tcW w:w="216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120,29 </w:t>
            </w:r>
          </w:p>
        </w:tc>
        <w:tc>
          <w:tcPr>
            <w:tcW w:w="208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9,50 </w:t>
            </w:r>
          </w:p>
        </w:tc>
        <w:tc>
          <w:tcPr>
            <w:tcW w:w="20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3 </w:t>
            </w:r>
          </w:p>
        </w:tc>
      </w:tr>
      <w:tr w:rsidR="00000000">
        <w:tblPrEx>
          <w:tblCellMar>
            <w:top w:w="0" w:type="dxa"/>
            <w:bottom w:w="0" w:type="dxa"/>
          </w:tblCellMar>
        </w:tblPrEx>
        <w:tc>
          <w:tcPr>
            <w:tcW w:w="256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15</w:t>
            </w:r>
          </w:p>
        </w:tc>
        <w:tc>
          <w:tcPr>
            <w:tcW w:w="216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118,12 </w:t>
            </w:r>
          </w:p>
        </w:tc>
        <w:tc>
          <w:tcPr>
            <w:tcW w:w="208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0,47 </w:t>
            </w:r>
          </w:p>
        </w:tc>
        <w:tc>
          <w:tcPr>
            <w:tcW w:w="20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3 </w:t>
            </w:r>
          </w:p>
        </w:tc>
      </w:tr>
      <w:tr w:rsidR="00000000">
        <w:tblPrEx>
          <w:tblCellMar>
            <w:top w:w="0" w:type="dxa"/>
            <w:bottom w:w="0" w:type="dxa"/>
          </w:tblCellMar>
        </w:tblPrEx>
        <w:tc>
          <w:tcPr>
            <w:tcW w:w="256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16</w:t>
            </w:r>
          </w:p>
        </w:tc>
        <w:tc>
          <w:tcPr>
            <w:tcW w:w="216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120,84 </w:t>
            </w:r>
          </w:p>
        </w:tc>
        <w:tc>
          <w:tcPr>
            <w:tcW w:w="208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1,06 </w:t>
            </w:r>
          </w:p>
        </w:tc>
        <w:tc>
          <w:tcPr>
            <w:tcW w:w="20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3 </w:t>
            </w:r>
          </w:p>
        </w:tc>
      </w:tr>
      <w:tr w:rsidR="00000000">
        <w:tblPrEx>
          <w:tblCellMar>
            <w:top w:w="0" w:type="dxa"/>
            <w:bottom w:w="0" w:type="dxa"/>
          </w:tblCellMar>
        </w:tblPrEx>
        <w:tc>
          <w:tcPr>
            <w:tcW w:w="256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17</w:t>
            </w:r>
          </w:p>
        </w:tc>
        <w:tc>
          <w:tcPr>
            <w:tcW w:w="216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120,29 </w:t>
            </w:r>
          </w:p>
        </w:tc>
        <w:tc>
          <w:tcPr>
            <w:tcW w:w="208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12,54 </w:t>
            </w:r>
          </w:p>
        </w:tc>
        <w:tc>
          <w:tcPr>
            <w:tcW w:w="20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3 </w:t>
            </w:r>
          </w:p>
        </w:tc>
      </w:tr>
      <w:tr w:rsidR="00000000">
        <w:tblPrEx>
          <w:tblCellMar>
            <w:top w:w="0" w:type="dxa"/>
            <w:bottom w:w="0" w:type="dxa"/>
          </w:tblCellMar>
        </w:tblPrEx>
        <w:tc>
          <w:tcPr>
            <w:tcW w:w="256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18</w:t>
            </w:r>
          </w:p>
        </w:tc>
        <w:tc>
          <w:tcPr>
            <w:tcW w:w="216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125,14 </w:t>
            </w:r>
          </w:p>
        </w:tc>
        <w:tc>
          <w:tcPr>
            <w:tcW w:w="208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14,06 </w:t>
            </w:r>
          </w:p>
        </w:tc>
        <w:tc>
          <w:tcPr>
            <w:tcW w:w="20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3 </w:t>
            </w:r>
          </w:p>
        </w:tc>
      </w:tr>
      <w:tr w:rsidR="00000000">
        <w:tblPrEx>
          <w:tblCellMar>
            <w:top w:w="0" w:type="dxa"/>
            <w:bottom w:w="0" w:type="dxa"/>
          </w:tblCellMar>
        </w:tblPrEx>
        <w:tc>
          <w:tcPr>
            <w:tcW w:w="256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19</w:t>
            </w:r>
          </w:p>
        </w:tc>
        <w:tc>
          <w:tcPr>
            <w:tcW w:w="216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131,69 </w:t>
            </w:r>
          </w:p>
        </w:tc>
        <w:tc>
          <w:tcPr>
            <w:tcW w:w="208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20,08 </w:t>
            </w:r>
          </w:p>
        </w:tc>
        <w:tc>
          <w:tcPr>
            <w:tcW w:w="20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3 </w:t>
            </w:r>
          </w:p>
        </w:tc>
      </w:tr>
      <w:tr w:rsidR="00000000">
        <w:tblPrEx>
          <w:tblCellMar>
            <w:top w:w="0" w:type="dxa"/>
            <w:bottom w:w="0" w:type="dxa"/>
          </w:tblCellMar>
        </w:tblPrEx>
        <w:tc>
          <w:tcPr>
            <w:tcW w:w="2565"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20</w:t>
            </w:r>
          </w:p>
        </w:tc>
        <w:tc>
          <w:tcPr>
            <w:tcW w:w="2160"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122,79 </w:t>
            </w:r>
          </w:p>
        </w:tc>
        <w:tc>
          <w:tcPr>
            <w:tcW w:w="2085"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25,76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3 </w:t>
            </w:r>
          </w:p>
        </w:tc>
      </w:tr>
    </w:tbl>
    <w:p w:rsidR="00000000" w:rsidRDefault="005829C2">
      <w:pPr>
        <w:pStyle w:val="a3"/>
      </w:pPr>
    </w:p>
    <w:p w:rsidR="00000000" w:rsidRDefault="005829C2">
      <w:pPr>
        <w:pStyle w:val="FORMATTEXT"/>
        <w:ind w:firstLine="568"/>
        <w:jc w:val="both"/>
      </w:pPr>
      <w:r>
        <w:t>Дисперсионный анализ, приведенный в табл</w:t>
      </w:r>
      <w:r>
        <w:t>ице В.3, может быть рассчитан с использованием, например, электронной таблицы.</w:t>
      </w:r>
    </w:p>
    <w:p w:rsidR="00000000" w:rsidRDefault="005829C2">
      <w:pPr>
        <w:pStyle w:val="FORMATTEXT"/>
        <w:ind w:firstLine="568"/>
        <w:jc w:val="both"/>
      </w:pPr>
    </w:p>
    <w:p w:rsidR="00000000" w:rsidRDefault="005829C2">
      <w:pPr>
        <w:pStyle w:val="FORMATTEXT"/>
        <w:jc w:val="both"/>
      </w:pPr>
      <w:r>
        <w:t xml:space="preserve">Таблица В.3 - Таблица ANOVA для исследования </w:t>
      </w:r>
      <w:proofErr w:type="spellStart"/>
      <w:r>
        <w:t>межэкземплярной</w:t>
      </w:r>
      <w:proofErr w:type="spellEnd"/>
      <w:r>
        <w:t xml:space="preserve"> однородности, содержание хрома в почве</w:t>
      </w:r>
    </w:p>
    <w:tbl>
      <w:tblPr>
        <w:tblW w:w="0" w:type="auto"/>
        <w:tblInd w:w="28" w:type="dxa"/>
        <w:tblLayout w:type="fixed"/>
        <w:tblCellMar>
          <w:left w:w="90" w:type="dxa"/>
          <w:right w:w="90" w:type="dxa"/>
        </w:tblCellMar>
        <w:tblLook w:val="0000" w:firstRow="0" w:lastRow="0" w:firstColumn="0" w:lastColumn="0" w:noHBand="0" w:noVBand="0"/>
      </w:tblPr>
      <w:tblGrid>
        <w:gridCol w:w="3840"/>
        <w:gridCol w:w="1725"/>
        <w:gridCol w:w="2040"/>
        <w:gridCol w:w="1395"/>
      </w:tblGrid>
      <w:tr w:rsidR="00000000">
        <w:tblPrEx>
          <w:tblCellMar>
            <w:top w:w="0" w:type="dxa"/>
            <w:bottom w:w="0" w:type="dxa"/>
          </w:tblCellMar>
        </w:tblPrEx>
        <w:tc>
          <w:tcPr>
            <w:tcW w:w="3840"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172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2040"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139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3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FORMATTEXT"/>
              <w:jc w:val="center"/>
              <w:rPr>
                <w:sz w:val="18"/>
                <w:szCs w:val="18"/>
              </w:rPr>
            </w:pPr>
            <w:r>
              <w:rPr>
                <w:sz w:val="18"/>
                <w:szCs w:val="18"/>
              </w:rPr>
              <w:t>Источник</w:t>
            </w:r>
          </w:p>
          <w:p w:rsidR="00000000" w:rsidRDefault="005829C2">
            <w:pPr>
              <w:pStyle w:val="a3"/>
              <w:jc w:val="center"/>
              <w:rPr>
                <w:sz w:val="18"/>
                <w:szCs w:val="18"/>
              </w:rPr>
            </w:pPr>
            <w:r>
              <w:rPr>
                <w:sz w:val="18"/>
                <w:szCs w:val="18"/>
              </w:rPr>
              <w:t>расхождений</w:t>
            </w:r>
          </w:p>
        </w:tc>
        <w:tc>
          <w:tcPr>
            <w:tcW w:w="172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i/>
                <w:iCs/>
                <w:sz w:val="18"/>
                <w:szCs w:val="18"/>
              </w:rPr>
              <w:t>SS</w:t>
            </w:r>
            <w:r>
              <w:rPr>
                <w:sz w:val="18"/>
                <w:szCs w:val="18"/>
              </w:rPr>
              <w:t xml:space="preserve"> </w:t>
            </w:r>
          </w:p>
        </w:tc>
        <w:tc>
          <w:tcPr>
            <w:tcW w:w="20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Степени свободы </w:t>
            </w:r>
          </w:p>
        </w:tc>
        <w:tc>
          <w:tcPr>
            <w:tcW w:w="139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i/>
                <w:iCs/>
                <w:sz w:val="18"/>
                <w:szCs w:val="18"/>
              </w:rPr>
              <w:t>MS</w:t>
            </w:r>
            <w:r>
              <w:rPr>
                <w:sz w:val="18"/>
                <w:szCs w:val="18"/>
              </w:rPr>
              <w:t xml:space="preserve"> </w:t>
            </w:r>
          </w:p>
        </w:tc>
      </w:tr>
      <w:tr w:rsidR="00000000">
        <w:tblPrEx>
          <w:tblCellMar>
            <w:top w:w="0" w:type="dxa"/>
            <w:bottom w:w="0" w:type="dxa"/>
          </w:tblCellMar>
        </w:tblPrEx>
        <w:tc>
          <w:tcPr>
            <w:tcW w:w="3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Между экземплярами</w:t>
            </w:r>
          </w:p>
        </w:tc>
        <w:tc>
          <w:tcPr>
            <w:tcW w:w="172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1037,1 </w:t>
            </w:r>
          </w:p>
        </w:tc>
        <w:tc>
          <w:tcPr>
            <w:tcW w:w="20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19 </w:t>
            </w:r>
          </w:p>
        </w:tc>
        <w:tc>
          <w:tcPr>
            <w:tcW w:w="139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54,59 </w:t>
            </w:r>
          </w:p>
        </w:tc>
      </w:tr>
      <w:tr w:rsidR="00000000">
        <w:tblPrEx>
          <w:tblCellMar>
            <w:top w:w="0" w:type="dxa"/>
            <w:bottom w:w="0" w:type="dxa"/>
          </w:tblCellMar>
        </w:tblPrEx>
        <w:tc>
          <w:tcPr>
            <w:tcW w:w="384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Внутри экземпляров</w:t>
            </w:r>
          </w:p>
        </w:tc>
        <w:tc>
          <w:tcPr>
            <w:tcW w:w="172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330,5 </w:t>
            </w:r>
          </w:p>
        </w:tc>
        <w:tc>
          <w:tcPr>
            <w:tcW w:w="204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40 </w:t>
            </w:r>
          </w:p>
        </w:tc>
        <w:tc>
          <w:tcPr>
            <w:tcW w:w="139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8,26 </w:t>
            </w:r>
          </w:p>
        </w:tc>
      </w:tr>
      <w:tr w:rsidR="00000000">
        <w:tblPrEx>
          <w:tblCellMar>
            <w:top w:w="0" w:type="dxa"/>
            <w:bottom w:w="0" w:type="dxa"/>
          </w:tblCellMar>
        </w:tblPrEx>
        <w:tc>
          <w:tcPr>
            <w:tcW w:w="3840" w:type="dxa"/>
            <w:tcBorders>
              <w:top w:val="nil"/>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Полное расхождение</w:t>
            </w:r>
          </w:p>
        </w:tc>
        <w:tc>
          <w:tcPr>
            <w:tcW w:w="1725" w:type="dxa"/>
            <w:tcBorders>
              <w:top w:val="nil"/>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1367,6 </w:t>
            </w:r>
          </w:p>
        </w:tc>
        <w:tc>
          <w:tcPr>
            <w:tcW w:w="2040" w:type="dxa"/>
            <w:tcBorders>
              <w:top w:val="nil"/>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59 </w:t>
            </w:r>
          </w:p>
        </w:tc>
        <w:tc>
          <w:tcPr>
            <w:tcW w:w="139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5829C2">
            <w:pPr>
              <w:pStyle w:val="a3"/>
              <w:rPr>
                <w:sz w:val="18"/>
                <w:szCs w:val="18"/>
              </w:rPr>
            </w:pPr>
            <w:r>
              <w:rPr>
                <w:sz w:val="18"/>
                <w:szCs w:val="18"/>
              </w:rPr>
              <w:t xml:space="preserve">  </w:t>
            </w:r>
          </w:p>
        </w:tc>
      </w:tr>
    </w:tbl>
    <w:p w:rsidR="00000000" w:rsidRDefault="005829C2">
      <w:pPr>
        <w:pStyle w:val="a3"/>
      </w:pPr>
    </w:p>
    <w:p w:rsidR="00000000" w:rsidRDefault="005829C2">
      <w:pPr>
        <w:pStyle w:val="FORMATTEXT"/>
        <w:ind w:firstLine="568"/>
        <w:jc w:val="both"/>
      </w:pPr>
      <w:r>
        <w:t>Дисперсия между экземплярами оценивается по формуле:</w:t>
      </w:r>
    </w:p>
    <w:p w:rsidR="00000000" w:rsidRDefault="005829C2">
      <w:pPr>
        <w:pStyle w:val="FORMATTEXT"/>
        <w:ind w:firstLine="568"/>
        <w:jc w:val="both"/>
      </w:pPr>
    </w:p>
    <w:p w:rsidR="00000000" w:rsidRDefault="00862BD0">
      <w:pPr>
        <w:pStyle w:val="FORMATTEXT"/>
        <w:jc w:val="center"/>
      </w:pPr>
      <w:r>
        <w:rPr>
          <w:noProof/>
          <w:position w:val="-19"/>
        </w:rPr>
        <w:drawing>
          <wp:inline distT="0" distB="0" distL="0" distR="0">
            <wp:extent cx="2943225" cy="457200"/>
            <wp:effectExtent l="0" t="0" r="9525" b="0"/>
            <wp:docPr id="257" name="Рисунок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943225" cy="457200"/>
                    </a:xfrm>
                    <a:prstGeom prst="rect">
                      <a:avLst/>
                    </a:prstGeom>
                    <a:noFill/>
                    <a:ln>
                      <a:noFill/>
                    </a:ln>
                  </pic:spPr>
                </pic:pic>
              </a:graphicData>
            </a:graphic>
          </wp:inline>
        </w:drawing>
      </w:r>
      <w:r w:rsidR="005829C2">
        <w:t>.</w:t>
      </w:r>
    </w:p>
    <w:p w:rsidR="00000000" w:rsidRDefault="005829C2">
      <w:pPr>
        <w:pStyle w:val="FORMATTEXT"/>
        <w:ind w:firstLine="568"/>
        <w:jc w:val="both"/>
      </w:pPr>
      <w:r>
        <w:t>Стандартное отклонение между экземплярами является корнем квадратным этой дисперсии:</w:t>
      </w:r>
    </w:p>
    <w:p w:rsidR="00000000" w:rsidRDefault="005829C2">
      <w:pPr>
        <w:pStyle w:val="FORMATTEXT"/>
        <w:ind w:firstLine="568"/>
        <w:jc w:val="both"/>
      </w:pPr>
    </w:p>
    <w:p w:rsidR="00000000" w:rsidRDefault="00862BD0">
      <w:pPr>
        <w:pStyle w:val="FORMATTEXT"/>
        <w:jc w:val="center"/>
      </w:pPr>
      <w:r>
        <w:rPr>
          <w:noProof/>
          <w:position w:val="-11"/>
        </w:rPr>
        <w:drawing>
          <wp:inline distT="0" distB="0" distL="0" distR="0">
            <wp:extent cx="1228725" cy="266700"/>
            <wp:effectExtent l="0" t="0" r="9525" b="0"/>
            <wp:docPr id="258" name="Рисунок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228725" cy="266700"/>
                    </a:xfrm>
                    <a:prstGeom prst="rect">
                      <a:avLst/>
                    </a:prstGeom>
                    <a:noFill/>
                    <a:ln>
                      <a:noFill/>
                    </a:ln>
                  </pic:spPr>
                </pic:pic>
              </a:graphicData>
            </a:graphic>
          </wp:inline>
        </w:drawing>
      </w:r>
      <w:r w:rsidR="005829C2">
        <w:t xml:space="preserve">мг/кг. </w:t>
      </w:r>
    </w:p>
    <w:p w:rsidR="00000000" w:rsidRDefault="005829C2">
      <w:pPr>
        <w:pStyle w:val="FORMATTEXT"/>
        <w:ind w:firstLine="568"/>
        <w:jc w:val="both"/>
      </w:pPr>
      <w:r>
        <w:t xml:space="preserve">Стандартное отклонение повторяемости можно рассчитать из </w:t>
      </w:r>
      <w:r>
        <w:rPr>
          <w:i/>
          <w:iCs/>
        </w:rPr>
        <w:t>MS</w:t>
      </w:r>
      <w:r w:rsidR="00862BD0">
        <w:rPr>
          <w:noProof/>
          <w:position w:val="-10"/>
        </w:rPr>
        <w:drawing>
          <wp:inline distT="0" distB="0" distL="0" distR="0">
            <wp:extent cx="342900" cy="228600"/>
            <wp:effectExtent l="0" t="0" r="0" b="0"/>
            <wp:docPr id="259" name="Рисунок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42900" cy="228600"/>
                    </a:xfrm>
                    <a:prstGeom prst="rect">
                      <a:avLst/>
                    </a:prstGeom>
                    <a:noFill/>
                    <a:ln>
                      <a:noFill/>
                    </a:ln>
                  </pic:spPr>
                </pic:pic>
              </a:graphicData>
            </a:graphic>
          </wp:inline>
        </w:drawing>
      </w:r>
      <w:r>
        <w:t>:</w:t>
      </w:r>
    </w:p>
    <w:p w:rsidR="00000000" w:rsidRDefault="005829C2">
      <w:pPr>
        <w:pStyle w:val="FORMATTEXT"/>
        <w:ind w:firstLine="568"/>
        <w:jc w:val="both"/>
      </w:pPr>
    </w:p>
    <w:p w:rsidR="00000000" w:rsidRDefault="00862BD0">
      <w:pPr>
        <w:pStyle w:val="FORMATTEXT"/>
        <w:jc w:val="center"/>
      </w:pPr>
      <w:r>
        <w:rPr>
          <w:noProof/>
          <w:position w:val="-11"/>
        </w:rPr>
        <w:drawing>
          <wp:inline distT="0" distB="0" distL="0" distR="0">
            <wp:extent cx="1895475" cy="266700"/>
            <wp:effectExtent l="0" t="0" r="9525" b="0"/>
            <wp:docPr id="260" name="Рисунок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895475" cy="266700"/>
                    </a:xfrm>
                    <a:prstGeom prst="rect">
                      <a:avLst/>
                    </a:prstGeom>
                    <a:noFill/>
                    <a:ln>
                      <a:noFill/>
                    </a:ln>
                  </pic:spPr>
                </pic:pic>
              </a:graphicData>
            </a:graphic>
          </wp:inline>
        </w:drawing>
      </w:r>
      <w:r w:rsidR="005829C2">
        <w:t xml:space="preserve">мг/кг. </w:t>
      </w:r>
    </w:p>
    <w:p w:rsidR="00000000" w:rsidRDefault="005829C2">
      <w:pPr>
        <w:pStyle w:val="FORMATTEXT"/>
        <w:ind w:firstLine="568"/>
        <w:jc w:val="both"/>
      </w:pPr>
      <w:r>
        <w:rPr>
          <w:b/>
          <w:bCs/>
        </w:rPr>
        <w:t>В.4 Однородность между экземплярами с учетом ограниченной повторяемости метода испытаний</w:t>
      </w:r>
    </w:p>
    <w:p w:rsidR="00000000" w:rsidRDefault="005829C2">
      <w:pPr>
        <w:pStyle w:val="FORMATTEXT"/>
        <w:ind w:firstLine="568"/>
        <w:jc w:val="both"/>
      </w:pPr>
    </w:p>
    <w:p w:rsidR="00000000" w:rsidRDefault="005829C2">
      <w:pPr>
        <w:pStyle w:val="FORMATTEXT"/>
        <w:ind w:firstLine="568"/>
        <w:jc w:val="both"/>
      </w:pPr>
      <w:r>
        <w:lastRenderedPageBreak/>
        <w:t xml:space="preserve">Подход, описанный в 7.9, можно проиллюстрировать следующим образом. Пример взят из ссылки [46]. Ткань свиной почки </w:t>
      </w:r>
      <w:r>
        <w:t xml:space="preserve">разводили хлоридом натрия и гомогенизировали. После повторного осаждения продукт подвергался очистке </w:t>
      </w:r>
      <w:proofErr w:type="spellStart"/>
      <w:r>
        <w:t>хроматографическим</w:t>
      </w:r>
      <w:proofErr w:type="spellEnd"/>
      <w:r>
        <w:t xml:space="preserve"> методом на колонке DEAE </w:t>
      </w:r>
      <w:proofErr w:type="spellStart"/>
      <w:r>
        <w:t>Trisacryl</w:t>
      </w:r>
      <w:proofErr w:type="spellEnd"/>
      <w:r>
        <w:t xml:space="preserve">, затем на </w:t>
      </w:r>
      <w:proofErr w:type="spellStart"/>
      <w:r>
        <w:t>гидроксилапатитовой</w:t>
      </w:r>
      <w:proofErr w:type="spellEnd"/>
      <w:r>
        <w:t xml:space="preserve"> колонке. В качестве матрицы был выбран белок бычьей сыворотки с массовой</w:t>
      </w:r>
      <w:r>
        <w:t xml:space="preserve"> концентрацией 60 г/л, т.к. его добавление не изменяет каталитические свойства частично очищенного фермента. Процедура заполнения была проверена взвешиванием 101 ампулы через равные промежутки времени. Тренд за время заполнения не был обнаружен. В результа</w:t>
      </w:r>
      <w:r>
        <w:t xml:space="preserve">те материал был </w:t>
      </w:r>
      <w:proofErr w:type="spellStart"/>
      <w:r>
        <w:t>лиофилизирован</w:t>
      </w:r>
      <w:proofErr w:type="spellEnd"/>
      <w:r>
        <w:t>.</w:t>
      </w:r>
    </w:p>
    <w:p w:rsidR="00000000" w:rsidRDefault="005829C2">
      <w:pPr>
        <w:pStyle w:val="FORMATTEXT"/>
        <w:ind w:firstLine="568"/>
        <w:jc w:val="both"/>
      </w:pPr>
    </w:p>
    <w:p w:rsidR="00000000" w:rsidRDefault="005829C2">
      <w:pPr>
        <w:pStyle w:val="FORMATTEXT"/>
        <w:ind w:firstLine="568"/>
        <w:jc w:val="both"/>
      </w:pPr>
      <w:r>
        <w:t>Материал проверяли на содержание загрязняющих ферментов, чистоту, содержание воды и остаточного кислорода и признали подходящим для ССО (АСО).</w:t>
      </w:r>
    </w:p>
    <w:p w:rsidR="00000000" w:rsidRDefault="005829C2">
      <w:pPr>
        <w:pStyle w:val="FORMATTEXT"/>
        <w:ind w:firstLine="568"/>
        <w:jc w:val="both"/>
      </w:pPr>
    </w:p>
    <w:p w:rsidR="00000000" w:rsidRDefault="005829C2">
      <w:pPr>
        <w:pStyle w:val="FORMATTEXT"/>
        <w:ind w:firstLine="568"/>
        <w:jc w:val="both"/>
      </w:pPr>
      <w:r>
        <w:t>Изменение массы пробы от процедуры заполнения не указывало на неоднородность. Д</w:t>
      </w:r>
      <w:r>
        <w:t>ля количественного определения расхождений между пробами данные для оценки однородности были взяты из анализа предыдущей сертификации (аттестации). Было проанализировано 20 ампул, анализ повторялся три раза по два дня каждый. Результаты двух дней были объе</w:t>
      </w:r>
      <w:r>
        <w:t xml:space="preserve">динены, и по данным, сгруппированным по ампулам, был выполнен ANOVA. Были рассчитаны стандартные отклонения внутри ампул </w:t>
      </w:r>
      <w:r>
        <w:rPr>
          <w:i/>
          <w:iCs/>
        </w:rPr>
        <w:t>s</w:t>
      </w:r>
      <w:r w:rsidR="00862BD0">
        <w:rPr>
          <w:noProof/>
          <w:position w:val="-10"/>
        </w:rPr>
        <w:drawing>
          <wp:inline distT="0" distB="0" distL="0" distR="0">
            <wp:extent cx="190500" cy="228600"/>
            <wp:effectExtent l="0" t="0" r="0" b="0"/>
            <wp:docPr id="261" name="Рисунок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rPr>
          <w:i/>
          <w:iCs/>
        </w:rPr>
        <w:t>,</w:t>
      </w:r>
      <w:r>
        <w:t xml:space="preserve"> между ампулами </w:t>
      </w:r>
      <w:r>
        <w:rPr>
          <w:i/>
          <w:iCs/>
        </w:rPr>
        <w:t>s</w:t>
      </w:r>
      <w:r w:rsidR="00862BD0">
        <w:rPr>
          <w:noProof/>
          <w:position w:val="-10"/>
        </w:rPr>
        <w:drawing>
          <wp:inline distT="0" distB="0" distL="0" distR="0">
            <wp:extent cx="161925" cy="228600"/>
            <wp:effectExtent l="0" t="0" r="9525" b="0"/>
            <wp:docPr id="262" name="Рисунок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и влияние аналитического расхождения на стан</w:t>
      </w:r>
      <w:r>
        <w:t xml:space="preserve">дартное расхождение между ампулами </w:t>
      </w:r>
      <w:r>
        <w:rPr>
          <w:i/>
          <w:iCs/>
        </w:rPr>
        <w:t>u’</w:t>
      </w:r>
      <w:r w:rsidR="00862BD0">
        <w:rPr>
          <w:noProof/>
          <w:position w:val="-10"/>
        </w:rPr>
        <w:drawing>
          <wp:inline distT="0" distB="0" distL="0" distR="0">
            <wp:extent cx="161925" cy="228600"/>
            <wp:effectExtent l="0" t="0" r="9525" b="0"/>
            <wp:docPr id="263" name="Рисунок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Pr>
          <w:i/>
          <w:iCs/>
        </w:rPr>
        <w:t>.</w:t>
      </w:r>
      <w:r>
        <w:t xml:space="preserve"> Результаты анализа дисперсии, включая оценку дисперсии на разных уровнях, приведены в таблице В.4.</w:t>
      </w:r>
    </w:p>
    <w:p w:rsidR="00000000" w:rsidRDefault="005829C2">
      <w:pPr>
        <w:pStyle w:val="FORMATTEXT"/>
        <w:ind w:firstLine="568"/>
        <w:jc w:val="both"/>
      </w:pPr>
    </w:p>
    <w:p w:rsidR="00000000" w:rsidRDefault="005829C2">
      <w:pPr>
        <w:pStyle w:val="FORMATTEXT"/>
        <w:jc w:val="both"/>
      </w:pPr>
      <w:r>
        <w:t>Таблица В.4 - Результаты для ткани свиной почки</w:t>
      </w:r>
    </w:p>
    <w:tbl>
      <w:tblPr>
        <w:tblW w:w="0" w:type="auto"/>
        <w:tblInd w:w="28" w:type="dxa"/>
        <w:tblLayout w:type="fixed"/>
        <w:tblCellMar>
          <w:left w:w="90" w:type="dxa"/>
          <w:right w:w="90" w:type="dxa"/>
        </w:tblCellMar>
        <w:tblLook w:val="0000" w:firstRow="0" w:lastRow="0" w:firstColumn="0" w:lastColumn="0" w:noHBand="0" w:noVBand="0"/>
      </w:tblPr>
      <w:tblGrid>
        <w:gridCol w:w="4635"/>
        <w:gridCol w:w="4365"/>
      </w:tblGrid>
      <w:tr w:rsidR="00000000">
        <w:tblPrEx>
          <w:tblCellMar>
            <w:top w:w="0" w:type="dxa"/>
            <w:bottom w:w="0" w:type="dxa"/>
          </w:tblCellMar>
        </w:tblPrEx>
        <w:tc>
          <w:tcPr>
            <w:tcW w:w="463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436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463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Среднее</w:t>
            </w:r>
          </w:p>
        </w:tc>
        <w:tc>
          <w:tcPr>
            <w:tcW w:w="436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67,78 IU/L </w:t>
            </w:r>
          </w:p>
        </w:tc>
      </w:tr>
      <w:tr w:rsidR="00000000">
        <w:tblPrEx>
          <w:tblCellMar>
            <w:top w:w="0" w:type="dxa"/>
            <w:bottom w:w="0" w:type="dxa"/>
          </w:tblCellMar>
        </w:tblPrEx>
        <w:tc>
          <w:tcPr>
            <w:tcW w:w="463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i/>
                <w:iCs/>
                <w:sz w:val="18"/>
                <w:szCs w:val="18"/>
              </w:rPr>
              <w:t>MS</w:t>
            </w:r>
            <w:r w:rsidR="00862BD0">
              <w:rPr>
                <w:noProof/>
                <w:position w:val="-10"/>
                <w:sz w:val="18"/>
                <w:szCs w:val="18"/>
              </w:rPr>
              <w:drawing>
                <wp:inline distT="0" distB="0" distL="0" distR="0">
                  <wp:extent cx="352425" cy="238125"/>
                  <wp:effectExtent l="0" t="0" r="9525" b="9525"/>
                  <wp:docPr id="264" name="Рисунок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p>
        </w:tc>
        <w:tc>
          <w:tcPr>
            <w:tcW w:w="436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1,76 IU</w:t>
            </w:r>
            <w:r w:rsidR="00862BD0">
              <w:rPr>
                <w:noProof/>
                <w:position w:val="-9"/>
                <w:sz w:val="18"/>
                <w:szCs w:val="18"/>
              </w:rPr>
              <w:drawing>
                <wp:inline distT="0" distB="0" distL="0" distR="0">
                  <wp:extent cx="104775" cy="219075"/>
                  <wp:effectExtent l="0" t="0" r="9525" b="9525"/>
                  <wp:docPr id="265" name="Рисунок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Pr>
                <w:sz w:val="18"/>
                <w:szCs w:val="18"/>
              </w:rPr>
              <w:t>/L</w:t>
            </w:r>
            <w:r w:rsidR="00862BD0">
              <w:rPr>
                <w:noProof/>
                <w:position w:val="-9"/>
                <w:sz w:val="18"/>
                <w:szCs w:val="18"/>
              </w:rPr>
              <w:drawing>
                <wp:inline distT="0" distB="0" distL="0" distR="0">
                  <wp:extent cx="104775" cy="219075"/>
                  <wp:effectExtent l="0" t="0" r="9525" b="9525"/>
                  <wp:docPr id="266" name="Рисунок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Pr>
                <w:sz w:val="18"/>
                <w:szCs w:val="18"/>
              </w:rPr>
              <w:t xml:space="preserve"> </w:t>
            </w:r>
          </w:p>
        </w:tc>
      </w:tr>
      <w:tr w:rsidR="00000000">
        <w:tblPrEx>
          <w:tblCellMar>
            <w:top w:w="0" w:type="dxa"/>
            <w:bottom w:w="0" w:type="dxa"/>
          </w:tblCellMar>
        </w:tblPrEx>
        <w:tc>
          <w:tcPr>
            <w:tcW w:w="463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i/>
                <w:iCs/>
                <w:sz w:val="18"/>
                <w:szCs w:val="18"/>
              </w:rPr>
              <w:t>MS</w:t>
            </w:r>
            <w:r w:rsidR="00862BD0">
              <w:rPr>
                <w:noProof/>
                <w:position w:val="-10"/>
                <w:sz w:val="18"/>
                <w:szCs w:val="18"/>
              </w:rPr>
              <w:drawing>
                <wp:inline distT="0" distB="0" distL="0" distR="0">
                  <wp:extent cx="342900" cy="228600"/>
                  <wp:effectExtent l="0" t="0" r="0" b="0"/>
                  <wp:docPr id="267" name="Рисунок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42900" cy="228600"/>
                          </a:xfrm>
                          <a:prstGeom prst="rect">
                            <a:avLst/>
                          </a:prstGeom>
                          <a:noFill/>
                          <a:ln>
                            <a:noFill/>
                          </a:ln>
                        </pic:spPr>
                      </pic:pic>
                    </a:graphicData>
                  </a:graphic>
                </wp:inline>
              </w:drawing>
            </w:r>
          </w:p>
        </w:tc>
        <w:tc>
          <w:tcPr>
            <w:tcW w:w="436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1,63 IU</w:t>
            </w:r>
            <w:r w:rsidR="00862BD0">
              <w:rPr>
                <w:noProof/>
                <w:position w:val="-9"/>
                <w:sz w:val="18"/>
                <w:szCs w:val="18"/>
              </w:rPr>
              <w:drawing>
                <wp:inline distT="0" distB="0" distL="0" distR="0">
                  <wp:extent cx="104775" cy="219075"/>
                  <wp:effectExtent l="0" t="0" r="9525" b="9525"/>
                  <wp:docPr id="268" name="Рисунок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Pr>
                <w:sz w:val="18"/>
                <w:szCs w:val="18"/>
              </w:rPr>
              <w:t>/L</w:t>
            </w:r>
            <w:r w:rsidR="00862BD0">
              <w:rPr>
                <w:noProof/>
                <w:position w:val="-9"/>
                <w:sz w:val="18"/>
                <w:szCs w:val="18"/>
              </w:rPr>
              <w:drawing>
                <wp:inline distT="0" distB="0" distL="0" distR="0">
                  <wp:extent cx="104775" cy="219075"/>
                  <wp:effectExtent l="0" t="0" r="9525" b="9525"/>
                  <wp:docPr id="269" name="Рисунок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Pr>
                <w:sz w:val="18"/>
                <w:szCs w:val="18"/>
              </w:rPr>
              <w:t xml:space="preserve"> </w:t>
            </w:r>
          </w:p>
        </w:tc>
      </w:tr>
      <w:tr w:rsidR="00000000">
        <w:tblPrEx>
          <w:tblCellMar>
            <w:top w:w="0" w:type="dxa"/>
            <w:bottom w:w="0" w:type="dxa"/>
          </w:tblCellMar>
        </w:tblPrEx>
        <w:tc>
          <w:tcPr>
            <w:tcW w:w="463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i/>
                <w:iCs/>
                <w:sz w:val="18"/>
                <w:szCs w:val="18"/>
              </w:rPr>
              <w:t>s</w:t>
            </w:r>
            <w:r w:rsidR="00862BD0">
              <w:rPr>
                <w:noProof/>
                <w:position w:val="-9"/>
                <w:sz w:val="18"/>
                <w:szCs w:val="18"/>
              </w:rPr>
              <w:drawing>
                <wp:inline distT="0" distB="0" distL="0" distR="0">
                  <wp:extent cx="85725" cy="219075"/>
                  <wp:effectExtent l="0" t="0" r="9525" b="9525"/>
                  <wp:docPr id="270" name="Рисунок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p>
        </w:tc>
        <w:tc>
          <w:tcPr>
            <w:tcW w:w="436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1,88% </w:t>
            </w:r>
          </w:p>
        </w:tc>
      </w:tr>
      <w:tr w:rsidR="00000000">
        <w:tblPrEx>
          <w:tblCellMar>
            <w:top w:w="0" w:type="dxa"/>
            <w:bottom w:w="0" w:type="dxa"/>
          </w:tblCellMar>
        </w:tblPrEx>
        <w:tc>
          <w:tcPr>
            <w:tcW w:w="463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i/>
                <w:iCs/>
                <w:sz w:val="18"/>
                <w:szCs w:val="18"/>
              </w:rPr>
              <w:t>s</w:t>
            </w:r>
            <w:r w:rsidR="00862BD0">
              <w:rPr>
                <w:noProof/>
                <w:position w:val="-10"/>
                <w:sz w:val="18"/>
                <w:szCs w:val="18"/>
              </w:rPr>
              <w:drawing>
                <wp:inline distT="0" distB="0" distL="0" distR="0">
                  <wp:extent cx="161925" cy="228600"/>
                  <wp:effectExtent l="0" t="0" r="9525" b="0"/>
                  <wp:docPr id="271" name="Рисунок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p>
        </w:tc>
        <w:tc>
          <w:tcPr>
            <w:tcW w:w="436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0,22% </w:t>
            </w:r>
          </w:p>
        </w:tc>
      </w:tr>
      <w:tr w:rsidR="00000000">
        <w:tblPrEx>
          <w:tblCellMar>
            <w:top w:w="0" w:type="dxa"/>
            <w:bottom w:w="0" w:type="dxa"/>
          </w:tblCellMar>
        </w:tblPrEx>
        <w:tc>
          <w:tcPr>
            <w:tcW w:w="4635"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i/>
                <w:iCs/>
                <w:sz w:val="18"/>
                <w:szCs w:val="18"/>
              </w:rPr>
              <w:t>u</w:t>
            </w:r>
            <w:r w:rsidR="00862BD0">
              <w:rPr>
                <w:noProof/>
                <w:position w:val="-11"/>
                <w:sz w:val="18"/>
                <w:szCs w:val="18"/>
              </w:rPr>
              <w:drawing>
                <wp:inline distT="0" distB="0" distL="0" distR="0">
                  <wp:extent cx="161925" cy="266700"/>
                  <wp:effectExtent l="0" t="0" r="9525" b="0"/>
                  <wp:docPr id="272" name="Рисунок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61925" cy="266700"/>
                          </a:xfrm>
                          <a:prstGeom prst="rect">
                            <a:avLst/>
                          </a:prstGeom>
                          <a:noFill/>
                          <a:ln>
                            <a:noFill/>
                          </a:ln>
                        </pic:spPr>
                      </pic:pic>
                    </a:graphicData>
                  </a:graphic>
                </wp:inline>
              </w:drawing>
            </w:r>
          </w:p>
        </w:tc>
        <w:tc>
          <w:tcPr>
            <w:tcW w:w="4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0,29% </w:t>
            </w:r>
          </w:p>
        </w:tc>
      </w:tr>
    </w:tbl>
    <w:p w:rsidR="00000000" w:rsidRDefault="005829C2">
      <w:pPr>
        <w:pStyle w:val="a3"/>
      </w:pPr>
    </w:p>
    <w:p w:rsidR="00000000" w:rsidRDefault="005829C2">
      <w:pPr>
        <w:pStyle w:val="FORMATTEXT"/>
        <w:ind w:firstLine="568"/>
        <w:jc w:val="both"/>
      </w:pPr>
      <w:r>
        <w:t>Стандартное отклонение между экземплярами рассчитывается по формуле:</w:t>
      </w:r>
    </w:p>
    <w:p w:rsidR="00000000" w:rsidRDefault="005829C2">
      <w:pPr>
        <w:pStyle w:val="FORMATTEXT"/>
        <w:ind w:firstLine="568"/>
        <w:jc w:val="both"/>
      </w:pPr>
    </w:p>
    <w:p w:rsidR="00000000" w:rsidRDefault="005829C2">
      <w:pPr>
        <w:pStyle w:val="FORMATTEXT"/>
        <w:jc w:val="center"/>
      </w:pPr>
      <w:r>
        <w:t xml:space="preserve">  </w:t>
      </w:r>
    </w:p>
    <w:p w:rsidR="00000000" w:rsidRDefault="00862BD0">
      <w:pPr>
        <w:pStyle w:val="TOPLEVELTEXT"/>
        <w:jc w:val="center"/>
      </w:pPr>
      <w:r>
        <w:rPr>
          <w:noProof/>
          <w:position w:val="-18"/>
        </w:rPr>
        <w:drawing>
          <wp:inline distT="0" distB="0" distL="0" distR="0">
            <wp:extent cx="2962275" cy="457200"/>
            <wp:effectExtent l="0" t="0" r="9525" b="0"/>
            <wp:docPr id="273" name="Рисунок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2962275" cy="457200"/>
                    </a:xfrm>
                    <a:prstGeom prst="rect">
                      <a:avLst/>
                    </a:prstGeom>
                    <a:noFill/>
                    <a:ln>
                      <a:noFill/>
                    </a:ln>
                  </pic:spPr>
                </pic:pic>
              </a:graphicData>
            </a:graphic>
          </wp:inline>
        </w:drawing>
      </w:r>
    </w:p>
    <w:p w:rsidR="00000000" w:rsidRDefault="005829C2">
      <w:pPr>
        <w:pStyle w:val="FORMATTEXT"/>
        <w:jc w:val="both"/>
      </w:pPr>
      <w:r>
        <w:t xml:space="preserve">и ведет к оценке для </w:t>
      </w:r>
      <w:r>
        <w:rPr>
          <w:i/>
          <w:iCs/>
        </w:rPr>
        <w:t>s</w:t>
      </w:r>
      <w:r w:rsidR="00862BD0">
        <w:rPr>
          <w:noProof/>
          <w:position w:val="-10"/>
        </w:rPr>
        <w:drawing>
          <wp:inline distT="0" distB="0" distL="0" distR="0">
            <wp:extent cx="161925" cy="228600"/>
            <wp:effectExtent l="0" t="0" r="9525" b="0"/>
            <wp:docPr id="274" name="Рисунок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Pr>
          <w:i/>
          <w:iCs/>
        </w:rPr>
        <w:t>,</w:t>
      </w:r>
      <w:r>
        <w:t xml:space="preserve"> равной 0,147 IU/L, что является эквивалентом 0,22% </w:t>
      </w:r>
      <w:proofErr w:type="spellStart"/>
      <w:r>
        <w:t>отн</w:t>
      </w:r>
      <w:proofErr w:type="spellEnd"/>
      <w:r>
        <w:t xml:space="preserve">. Следует отметить, что каждая группа состоит из двух тройных измерений, что </w:t>
      </w:r>
      <w:proofErr w:type="gramStart"/>
      <w:r>
        <w:t xml:space="preserve">значит </w:t>
      </w:r>
      <w:r w:rsidR="00862BD0">
        <w:rPr>
          <w:noProof/>
          <w:position w:val="-10"/>
        </w:rPr>
        <w:drawing>
          <wp:inline distT="0" distB="0" distL="0" distR="0">
            <wp:extent cx="647700" cy="228600"/>
            <wp:effectExtent l="0" t="0" r="0" b="0"/>
            <wp:docPr id="275" name="Рисунок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647700" cy="228600"/>
                    </a:xfrm>
                    <a:prstGeom prst="rect">
                      <a:avLst/>
                    </a:prstGeom>
                    <a:noFill/>
                    <a:ln>
                      <a:noFill/>
                    </a:ln>
                  </pic:spPr>
                </pic:pic>
              </a:graphicData>
            </a:graphic>
          </wp:inline>
        </w:drawing>
      </w:r>
      <w:r>
        <w:t>.</w:t>
      </w:r>
      <w:proofErr w:type="gramEnd"/>
      <w:r>
        <w:t xml:space="preserve"> Стандартное отклонение повторяемости можно рассчитать из </w:t>
      </w:r>
      <w:r>
        <w:rPr>
          <w:i/>
          <w:iCs/>
        </w:rPr>
        <w:t>M*</w:t>
      </w:r>
      <w:r w:rsidR="00862BD0">
        <w:rPr>
          <w:noProof/>
          <w:position w:val="-10"/>
        </w:rPr>
        <w:drawing>
          <wp:inline distT="0" distB="0" distL="0" distR="0">
            <wp:extent cx="342900" cy="228600"/>
            <wp:effectExtent l="0" t="0" r="0" b="0"/>
            <wp:docPr id="276" name="Рисунок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42900" cy="228600"/>
                    </a:xfrm>
                    <a:prstGeom prst="rect">
                      <a:avLst/>
                    </a:prstGeom>
                    <a:noFill/>
                    <a:ln>
                      <a:noFill/>
                    </a:ln>
                  </pic:spPr>
                </pic:pic>
              </a:graphicData>
            </a:graphic>
          </wp:inline>
        </w:drawing>
      </w:r>
      <w:r>
        <w:t>:</w:t>
      </w:r>
    </w:p>
    <w:p w:rsidR="00000000" w:rsidRDefault="005829C2">
      <w:pPr>
        <w:pStyle w:val="FORMATTEXT"/>
        <w:jc w:val="both"/>
      </w:pPr>
      <w:r>
        <w:t xml:space="preserve">________________ </w:t>
      </w:r>
    </w:p>
    <w:p w:rsidR="00000000" w:rsidRDefault="005829C2">
      <w:pPr>
        <w:pStyle w:val="FORMATTEXT"/>
        <w:ind w:firstLine="568"/>
        <w:jc w:val="both"/>
      </w:pPr>
      <w:r>
        <w:t>* Текст документа соответствует оригиналу. - Примечание изготовителя базы данных.</w:t>
      </w:r>
    </w:p>
    <w:p w:rsidR="00000000" w:rsidRDefault="005829C2">
      <w:pPr>
        <w:pStyle w:val="FORMATTEXT"/>
        <w:ind w:firstLine="568"/>
        <w:jc w:val="both"/>
      </w:pPr>
    </w:p>
    <w:p w:rsidR="00000000" w:rsidRDefault="00862BD0">
      <w:pPr>
        <w:pStyle w:val="FORMATTEXT"/>
        <w:jc w:val="center"/>
      </w:pPr>
      <w:r>
        <w:rPr>
          <w:noProof/>
          <w:position w:val="-11"/>
        </w:rPr>
        <w:drawing>
          <wp:inline distT="0" distB="0" distL="0" distR="0">
            <wp:extent cx="1857375" cy="266700"/>
            <wp:effectExtent l="0" t="0" r="9525" b="0"/>
            <wp:docPr id="277" name="Рисунок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1857375" cy="266700"/>
                    </a:xfrm>
                    <a:prstGeom prst="rect">
                      <a:avLst/>
                    </a:prstGeom>
                    <a:noFill/>
                    <a:ln>
                      <a:noFill/>
                    </a:ln>
                  </pic:spPr>
                </pic:pic>
              </a:graphicData>
            </a:graphic>
          </wp:inline>
        </w:drawing>
      </w:r>
      <w:r w:rsidR="005829C2">
        <w:t xml:space="preserve">IU/L. </w:t>
      </w:r>
    </w:p>
    <w:p w:rsidR="00000000" w:rsidRDefault="005829C2">
      <w:pPr>
        <w:pStyle w:val="FORMATTEXT"/>
        <w:ind w:firstLine="568"/>
        <w:jc w:val="both"/>
      </w:pPr>
      <w:r>
        <w:t>Ис</w:t>
      </w:r>
      <w:r>
        <w:t>пользуя выражение из 7.9, можно получить оценку стандартного отклонения между экземплярами, которое отражает относительно большое значение для стандартного отклонения повторяемости:</w:t>
      </w:r>
    </w:p>
    <w:p w:rsidR="00000000" w:rsidRDefault="005829C2">
      <w:pPr>
        <w:pStyle w:val="FORMATTEXT"/>
        <w:ind w:firstLine="568"/>
        <w:jc w:val="both"/>
      </w:pPr>
    </w:p>
    <w:p w:rsidR="00000000" w:rsidRDefault="00862BD0">
      <w:pPr>
        <w:pStyle w:val="FORMATTEXT"/>
        <w:jc w:val="center"/>
      </w:pPr>
      <w:r>
        <w:rPr>
          <w:noProof/>
          <w:position w:val="-22"/>
        </w:rPr>
        <w:lastRenderedPageBreak/>
        <w:drawing>
          <wp:inline distT="0" distB="0" distL="0" distR="0">
            <wp:extent cx="3057525" cy="533400"/>
            <wp:effectExtent l="0" t="0" r="9525" b="0"/>
            <wp:docPr id="278" name="Рисунок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3057525" cy="533400"/>
                    </a:xfrm>
                    <a:prstGeom prst="rect">
                      <a:avLst/>
                    </a:prstGeom>
                    <a:noFill/>
                    <a:ln>
                      <a:noFill/>
                    </a:ln>
                  </pic:spPr>
                </pic:pic>
              </a:graphicData>
            </a:graphic>
          </wp:inline>
        </w:drawing>
      </w:r>
      <w:r w:rsidR="005829C2">
        <w:t xml:space="preserve">IU/L. </w:t>
      </w:r>
    </w:p>
    <w:p w:rsidR="00000000" w:rsidRDefault="005829C2">
      <w:pPr>
        <w:pStyle w:val="FORMATTEXT"/>
        <w:ind w:firstLine="568"/>
        <w:jc w:val="both"/>
      </w:pPr>
      <w:r>
        <w:t xml:space="preserve">Было установлено, что </w:t>
      </w:r>
      <w:proofErr w:type="spellStart"/>
      <w:r>
        <w:t>межэкзем</w:t>
      </w:r>
      <w:r>
        <w:t>плярная</w:t>
      </w:r>
      <w:proofErr w:type="spellEnd"/>
      <w:r>
        <w:t xml:space="preserve"> дисперсия </w:t>
      </w:r>
      <w:r>
        <w:rPr>
          <w:i/>
          <w:iCs/>
        </w:rPr>
        <w:t>s</w:t>
      </w:r>
      <w:r w:rsidR="00862BD0">
        <w:rPr>
          <w:noProof/>
          <w:position w:val="-10"/>
        </w:rPr>
        <w:drawing>
          <wp:inline distT="0" distB="0" distL="0" distR="0">
            <wp:extent cx="161925" cy="228600"/>
            <wp:effectExtent l="0" t="0" r="9525" b="0"/>
            <wp:docPr id="279" name="Рисунок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меньше, чем влияние стандартного отклонения повторяемости </w:t>
      </w:r>
      <w:r>
        <w:rPr>
          <w:i/>
          <w:iCs/>
        </w:rPr>
        <w:t>s</w:t>
      </w:r>
      <w:r w:rsidR="00862BD0">
        <w:rPr>
          <w:noProof/>
          <w:position w:val="-9"/>
        </w:rPr>
        <w:drawing>
          <wp:inline distT="0" distB="0" distL="0" distR="0">
            <wp:extent cx="104775" cy="219075"/>
            <wp:effectExtent l="0" t="0" r="9525" b="9525"/>
            <wp:docPr id="280" name="Рисунок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t xml:space="preserve"> на </w:t>
      </w:r>
      <w:r>
        <w:rPr>
          <w:i/>
          <w:iCs/>
        </w:rPr>
        <w:t>s</w:t>
      </w:r>
      <w:r w:rsidR="00862BD0">
        <w:rPr>
          <w:noProof/>
          <w:position w:val="-10"/>
        </w:rPr>
        <w:drawing>
          <wp:inline distT="0" distB="0" distL="0" distR="0">
            <wp:extent cx="161925" cy="228600"/>
            <wp:effectExtent l="0" t="0" r="9525" b="0"/>
            <wp:docPr id="281" name="Рисунок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которое было установлено равным 0,196 IU/L и затем использовано</w:t>
      </w:r>
      <w:r>
        <w:t xml:space="preserve"> как верхний предел для </w:t>
      </w:r>
      <w:proofErr w:type="spellStart"/>
      <w:r>
        <w:t>межэкземплярной</w:t>
      </w:r>
      <w:proofErr w:type="spellEnd"/>
      <w:r>
        <w:t xml:space="preserve"> дисперсии.</w:t>
      </w:r>
    </w:p>
    <w:p w:rsidR="00000000" w:rsidRDefault="005829C2">
      <w:pPr>
        <w:pStyle w:val="FORMATTEXT"/>
        <w:ind w:firstLine="568"/>
        <w:jc w:val="both"/>
      </w:pPr>
    </w:p>
    <w:p w:rsidR="00000000" w:rsidRDefault="005829C2">
      <w:pPr>
        <w:pStyle w:val="FORMATTEXT"/>
        <w:ind w:firstLine="568"/>
        <w:jc w:val="both"/>
      </w:pPr>
      <w:r>
        <w:rPr>
          <w:b/>
          <w:bCs/>
        </w:rPr>
        <w:t>В.5 Исследование стабильности и срок хранения</w:t>
      </w:r>
    </w:p>
    <w:p w:rsidR="00000000" w:rsidRDefault="005829C2">
      <w:pPr>
        <w:pStyle w:val="FORMATTEXT"/>
        <w:ind w:firstLine="568"/>
        <w:jc w:val="both"/>
      </w:pPr>
    </w:p>
    <w:p w:rsidR="00000000" w:rsidRDefault="005829C2">
      <w:pPr>
        <w:pStyle w:val="FORMATTEXT"/>
        <w:ind w:firstLine="568"/>
        <w:jc w:val="both"/>
      </w:pPr>
      <w:r>
        <w:t>Разрабатываемый СО почвы прошел исследование на стабильность содержания хрома. Экспериментальные данные приведены в таблице В.5.</w:t>
      </w:r>
    </w:p>
    <w:p w:rsidR="00000000" w:rsidRDefault="005829C2">
      <w:pPr>
        <w:pStyle w:val="FORMATTEXT"/>
        <w:ind w:firstLine="568"/>
        <w:jc w:val="both"/>
      </w:pPr>
    </w:p>
    <w:p w:rsidR="00000000" w:rsidRDefault="005829C2">
      <w:pPr>
        <w:pStyle w:val="FORMATTEXT"/>
        <w:jc w:val="both"/>
      </w:pPr>
      <w:r>
        <w:t>Таблица В.5 - Результаты ис</w:t>
      </w:r>
      <w:r>
        <w:t>следования стабильности, содержание хрома в СО почвы</w:t>
      </w:r>
    </w:p>
    <w:tbl>
      <w:tblPr>
        <w:tblW w:w="0" w:type="auto"/>
        <w:tblInd w:w="28" w:type="dxa"/>
        <w:tblLayout w:type="fixed"/>
        <w:tblCellMar>
          <w:left w:w="90" w:type="dxa"/>
          <w:right w:w="90" w:type="dxa"/>
        </w:tblCellMar>
        <w:tblLook w:val="0000" w:firstRow="0" w:lastRow="0" w:firstColumn="0" w:lastColumn="0" w:noHBand="0" w:noVBand="0"/>
      </w:tblPr>
      <w:tblGrid>
        <w:gridCol w:w="4275"/>
        <w:gridCol w:w="4875"/>
      </w:tblGrid>
      <w:tr w:rsidR="00000000">
        <w:tblPrEx>
          <w:tblCellMar>
            <w:top w:w="0" w:type="dxa"/>
            <w:bottom w:w="0" w:type="dxa"/>
          </w:tblCellMar>
        </w:tblPrEx>
        <w:tc>
          <w:tcPr>
            <w:tcW w:w="427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487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42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Время (месяцы)</w:t>
            </w:r>
          </w:p>
        </w:tc>
        <w:tc>
          <w:tcPr>
            <w:tcW w:w="487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Содержание </w:t>
            </w:r>
            <w:proofErr w:type="spellStart"/>
            <w:r>
              <w:rPr>
                <w:sz w:val="18"/>
                <w:szCs w:val="18"/>
              </w:rPr>
              <w:t>Cr</w:t>
            </w:r>
            <w:proofErr w:type="spellEnd"/>
            <w:r>
              <w:rPr>
                <w:sz w:val="18"/>
                <w:szCs w:val="18"/>
              </w:rPr>
              <w:t xml:space="preserve">, мг/кг </w:t>
            </w:r>
          </w:p>
        </w:tc>
      </w:tr>
      <w:tr w:rsidR="00000000">
        <w:tblPrEx>
          <w:tblCellMar>
            <w:top w:w="0" w:type="dxa"/>
            <w:bottom w:w="0" w:type="dxa"/>
          </w:tblCellMar>
        </w:tblPrEx>
        <w:tc>
          <w:tcPr>
            <w:tcW w:w="42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0</w:t>
            </w:r>
          </w:p>
        </w:tc>
        <w:tc>
          <w:tcPr>
            <w:tcW w:w="487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97,76 </w:t>
            </w:r>
          </w:p>
        </w:tc>
      </w:tr>
      <w:tr w:rsidR="00000000">
        <w:tblPrEx>
          <w:tblCellMar>
            <w:top w:w="0" w:type="dxa"/>
            <w:bottom w:w="0" w:type="dxa"/>
          </w:tblCellMar>
        </w:tblPrEx>
        <w:tc>
          <w:tcPr>
            <w:tcW w:w="427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12</w:t>
            </w:r>
          </w:p>
        </w:tc>
        <w:tc>
          <w:tcPr>
            <w:tcW w:w="487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101,23 </w:t>
            </w:r>
          </w:p>
        </w:tc>
      </w:tr>
      <w:tr w:rsidR="00000000">
        <w:tblPrEx>
          <w:tblCellMar>
            <w:top w:w="0" w:type="dxa"/>
            <w:bottom w:w="0" w:type="dxa"/>
          </w:tblCellMar>
        </w:tblPrEx>
        <w:tc>
          <w:tcPr>
            <w:tcW w:w="427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24</w:t>
            </w:r>
          </w:p>
        </w:tc>
        <w:tc>
          <w:tcPr>
            <w:tcW w:w="487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102,14 </w:t>
            </w:r>
          </w:p>
        </w:tc>
      </w:tr>
      <w:tr w:rsidR="00000000">
        <w:tblPrEx>
          <w:tblCellMar>
            <w:top w:w="0" w:type="dxa"/>
            <w:bottom w:w="0" w:type="dxa"/>
          </w:tblCellMar>
        </w:tblPrEx>
        <w:tc>
          <w:tcPr>
            <w:tcW w:w="4275" w:type="dxa"/>
            <w:tcBorders>
              <w:top w:val="nil"/>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36</w:t>
            </w:r>
          </w:p>
        </w:tc>
        <w:tc>
          <w:tcPr>
            <w:tcW w:w="487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97,72 </w:t>
            </w:r>
          </w:p>
        </w:tc>
      </w:tr>
    </w:tbl>
    <w:p w:rsidR="00000000" w:rsidRDefault="005829C2">
      <w:pPr>
        <w:pStyle w:val="a3"/>
      </w:pPr>
    </w:p>
    <w:p w:rsidR="00000000" w:rsidRDefault="005829C2">
      <w:pPr>
        <w:pStyle w:val="FORMATTEXT"/>
        <w:ind w:firstLine="568"/>
        <w:jc w:val="both"/>
      </w:pPr>
      <w:r>
        <w:t>В связи с тем что не существует физической/химической модели, которая бы реалистично описывала механизм деградации д</w:t>
      </w:r>
      <w:r>
        <w:t xml:space="preserve">ля этого разрабатываемого СО, в качестве эмпирической модели используют прямую линию. Фактически для данного значения параметра (содержания хрома) в этой матрице (почва) ожидается, что отрезок (в пределах неопределенности) равен значению, полученному от </w:t>
      </w:r>
      <w:proofErr w:type="spellStart"/>
      <w:r>
        <w:t>ха</w:t>
      </w:r>
      <w:r>
        <w:t>рактеризации</w:t>
      </w:r>
      <w:proofErr w:type="spellEnd"/>
      <w:r>
        <w:t>, тогда как наклон существенно не отличается от нуля.</w:t>
      </w:r>
    </w:p>
    <w:p w:rsidR="00000000" w:rsidRDefault="005829C2">
      <w:pPr>
        <w:pStyle w:val="FORMATTEXT"/>
        <w:ind w:firstLine="568"/>
        <w:jc w:val="both"/>
      </w:pPr>
    </w:p>
    <w:p w:rsidR="00000000" w:rsidRDefault="005829C2">
      <w:pPr>
        <w:pStyle w:val="FORMATTEXT"/>
        <w:ind w:firstLine="568"/>
        <w:jc w:val="both"/>
      </w:pPr>
      <w:r>
        <w:t>Наклон можно рассчитать, используя следующее уравнение:</w:t>
      </w:r>
    </w:p>
    <w:p w:rsidR="00000000" w:rsidRDefault="005829C2">
      <w:pPr>
        <w:pStyle w:val="FORMATTEXT"/>
        <w:ind w:firstLine="568"/>
        <w:jc w:val="both"/>
      </w:pPr>
    </w:p>
    <w:p w:rsidR="00000000" w:rsidRDefault="00862BD0">
      <w:pPr>
        <w:pStyle w:val="FORMATTEXT"/>
        <w:jc w:val="center"/>
      </w:pPr>
      <w:r>
        <w:rPr>
          <w:noProof/>
          <w:position w:val="-35"/>
        </w:rPr>
        <w:drawing>
          <wp:inline distT="0" distB="0" distL="0" distR="0">
            <wp:extent cx="2590800" cy="866775"/>
            <wp:effectExtent l="0" t="0" r="0" b="9525"/>
            <wp:docPr id="282" name="Рисунок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2590800" cy="866775"/>
                    </a:xfrm>
                    <a:prstGeom prst="rect">
                      <a:avLst/>
                    </a:prstGeom>
                    <a:noFill/>
                    <a:ln>
                      <a:noFill/>
                    </a:ln>
                  </pic:spPr>
                </pic:pic>
              </a:graphicData>
            </a:graphic>
          </wp:inline>
        </w:drawing>
      </w:r>
      <w:r w:rsidR="005829C2">
        <w:t>,</w:t>
      </w:r>
    </w:p>
    <w:p w:rsidR="00000000" w:rsidRDefault="005829C2">
      <w:pPr>
        <w:pStyle w:val="FORMATTEXT"/>
        <w:jc w:val="both"/>
      </w:pPr>
      <w:r>
        <w:t>где отмечено, что</w:t>
      </w:r>
    </w:p>
    <w:p w:rsidR="00000000" w:rsidRDefault="00862BD0">
      <w:pPr>
        <w:pStyle w:val="FORMATTEXT"/>
        <w:jc w:val="center"/>
      </w:pPr>
      <w:r>
        <w:rPr>
          <w:noProof/>
          <w:position w:val="-10"/>
        </w:rPr>
        <w:drawing>
          <wp:inline distT="0" distB="0" distL="0" distR="0">
            <wp:extent cx="790575" cy="228600"/>
            <wp:effectExtent l="0" t="0" r="9525" b="0"/>
            <wp:docPr id="283" name="Рисунок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790575" cy="228600"/>
                    </a:xfrm>
                    <a:prstGeom prst="rect">
                      <a:avLst/>
                    </a:prstGeom>
                    <a:noFill/>
                    <a:ln>
                      <a:noFill/>
                    </a:ln>
                  </pic:spPr>
                </pic:pic>
              </a:graphicData>
            </a:graphic>
          </wp:inline>
        </w:drawing>
      </w:r>
      <w:proofErr w:type="gramStart"/>
      <w:r w:rsidR="005829C2">
        <w:t xml:space="preserve">и </w:t>
      </w:r>
      <w:r>
        <w:rPr>
          <w:noProof/>
          <w:position w:val="-9"/>
        </w:rPr>
        <w:drawing>
          <wp:inline distT="0" distB="0" distL="0" distR="0">
            <wp:extent cx="466725" cy="219075"/>
            <wp:effectExtent l="0" t="0" r="9525" b="9525"/>
            <wp:docPr id="284" name="Рисунок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466725" cy="219075"/>
                    </a:xfrm>
                    <a:prstGeom prst="rect">
                      <a:avLst/>
                    </a:prstGeom>
                    <a:noFill/>
                    <a:ln>
                      <a:noFill/>
                    </a:ln>
                  </pic:spPr>
                </pic:pic>
              </a:graphicData>
            </a:graphic>
          </wp:inline>
        </w:drawing>
      </w:r>
      <w:r w:rsidR="005829C2">
        <w:t>.</w:t>
      </w:r>
      <w:proofErr w:type="gramEnd"/>
      <w:r w:rsidR="005829C2">
        <w:t xml:space="preserve"> </w:t>
      </w:r>
    </w:p>
    <w:p w:rsidR="00000000" w:rsidRDefault="005829C2">
      <w:pPr>
        <w:pStyle w:val="FORMATTEXT"/>
        <w:ind w:firstLine="568"/>
        <w:jc w:val="both"/>
      </w:pPr>
      <w:r>
        <w:t>Отрезок рассчитывается по формуле:</w:t>
      </w:r>
    </w:p>
    <w:p w:rsidR="00000000" w:rsidRDefault="005829C2">
      <w:pPr>
        <w:pStyle w:val="FORMATTEXT"/>
        <w:ind w:firstLine="568"/>
        <w:jc w:val="both"/>
      </w:pPr>
    </w:p>
    <w:p w:rsidR="00000000" w:rsidRDefault="00862BD0">
      <w:pPr>
        <w:pStyle w:val="FORMATTEXT"/>
        <w:jc w:val="center"/>
      </w:pPr>
      <w:r>
        <w:rPr>
          <w:noProof/>
          <w:position w:val="-11"/>
        </w:rPr>
        <w:drawing>
          <wp:inline distT="0" distB="0" distL="0" distR="0">
            <wp:extent cx="3019425" cy="257175"/>
            <wp:effectExtent l="0" t="0" r="9525" b="9525"/>
            <wp:docPr id="285" name="Рисунок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3019425" cy="257175"/>
                    </a:xfrm>
                    <a:prstGeom prst="rect">
                      <a:avLst/>
                    </a:prstGeom>
                    <a:noFill/>
                    <a:ln>
                      <a:noFill/>
                    </a:ln>
                  </pic:spPr>
                </pic:pic>
              </a:graphicData>
            </a:graphic>
          </wp:inline>
        </w:drawing>
      </w:r>
      <w:r w:rsidR="005829C2">
        <w:t xml:space="preserve">. </w:t>
      </w:r>
    </w:p>
    <w:p w:rsidR="00000000" w:rsidRDefault="005829C2">
      <w:pPr>
        <w:pStyle w:val="FORMATTEXT"/>
        <w:ind w:firstLine="568"/>
        <w:jc w:val="both"/>
      </w:pPr>
      <w:r>
        <w:t>Стандартное отклонение точек от линии можно рассчитать по формуле:</w:t>
      </w:r>
    </w:p>
    <w:p w:rsidR="00000000" w:rsidRDefault="005829C2">
      <w:pPr>
        <w:pStyle w:val="FORMATTEXT"/>
        <w:ind w:firstLine="568"/>
        <w:jc w:val="both"/>
      </w:pPr>
    </w:p>
    <w:p w:rsidR="00000000" w:rsidRDefault="00862BD0">
      <w:pPr>
        <w:pStyle w:val="FORMATTEXT"/>
        <w:jc w:val="center"/>
      </w:pPr>
      <w:r>
        <w:rPr>
          <w:noProof/>
          <w:position w:val="-25"/>
        </w:rPr>
        <w:drawing>
          <wp:inline distT="0" distB="0" distL="0" distR="0">
            <wp:extent cx="2552700" cy="619125"/>
            <wp:effectExtent l="0" t="0" r="0" b="9525"/>
            <wp:docPr id="286" name="Рисунок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552700" cy="619125"/>
                    </a:xfrm>
                    <a:prstGeom prst="rect">
                      <a:avLst/>
                    </a:prstGeom>
                    <a:noFill/>
                    <a:ln>
                      <a:noFill/>
                    </a:ln>
                  </pic:spPr>
                </pic:pic>
              </a:graphicData>
            </a:graphic>
          </wp:inline>
        </w:drawing>
      </w:r>
      <w:r w:rsidR="005829C2">
        <w:t xml:space="preserve">. </w:t>
      </w:r>
    </w:p>
    <w:p w:rsidR="00000000" w:rsidRDefault="005829C2">
      <w:pPr>
        <w:pStyle w:val="FORMATTEXT"/>
        <w:ind w:firstLine="568"/>
        <w:jc w:val="both"/>
      </w:pPr>
      <w:r>
        <w:t xml:space="preserve">После извлечения корня квадратного </w:t>
      </w:r>
      <w:r>
        <w:rPr>
          <w:i/>
          <w:iCs/>
        </w:rPr>
        <w:t>s</w:t>
      </w:r>
      <w:r>
        <w:t>=2,8237 мг/кг, неопределенность, связанн</w:t>
      </w:r>
      <w:r>
        <w:t>ую с наклоном, можно рассчитать, используя выражение:</w:t>
      </w:r>
    </w:p>
    <w:p w:rsidR="00000000" w:rsidRDefault="005829C2">
      <w:pPr>
        <w:pStyle w:val="FORMATTEXT"/>
        <w:ind w:firstLine="568"/>
        <w:jc w:val="both"/>
      </w:pPr>
    </w:p>
    <w:p w:rsidR="00000000" w:rsidRDefault="00862BD0">
      <w:pPr>
        <w:pStyle w:val="FORMATTEXT"/>
        <w:jc w:val="center"/>
      </w:pPr>
      <w:r>
        <w:rPr>
          <w:noProof/>
          <w:position w:val="-27"/>
        </w:rPr>
        <w:drawing>
          <wp:inline distT="0" distB="0" distL="0" distR="0">
            <wp:extent cx="2657475" cy="676275"/>
            <wp:effectExtent l="0" t="0" r="9525" b="9525"/>
            <wp:docPr id="287" name="Рисунок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2657475" cy="676275"/>
                    </a:xfrm>
                    <a:prstGeom prst="rect">
                      <a:avLst/>
                    </a:prstGeom>
                    <a:noFill/>
                    <a:ln>
                      <a:noFill/>
                    </a:ln>
                  </pic:spPr>
                </pic:pic>
              </a:graphicData>
            </a:graphic>
          </wp:inline>
        </w:drawing>
      </w:r>
      <w:r w:rsidR="005829C2">
        <w:t>.</w:t>
      </w:r>
    </w:p>
    <w:p w:rsidR="00000000" w:rsidRDefault="005829C2">
      <w:pPr>
        <w:pStyle w:val="FORMATTEXT"/>
        <w:ind w:firstLine="568"/>
        <w:jc w:val="both"/>
      </w:pPr>
      <w:r>
        <w:t>Критерий Стьюдента (</w:t>
      </w:r>
      <w:r>
        <w:rPr>
          <w:i/>
          <w:iCs/>
        </w:rPr>
        <w:t>t</w:t>
      </w:r>
      <w:r>
        <w:t xml:space="preserve">-критерий) для </w:t>
      </w:r>
      <w:r>
        <w:rPr>
          <w:i/>
          <w:iCs/>
        </w:rPr>
        <w:t>n</w:t>
      </w:r>
      <w:r>
        <w:t xml:space="preserve">-2 степеней свободы и </w:t>
      </w:r>
      <w:r>
        <w:rPr>
          <w:i/>
          <w:iCs/>
        </w:rPr>
        <w:t>p</w:t>
      </w:r>
      <w:r>
        <w:t>=0,95 (95% доверительный уровень) равен 4,30.</w:t>
      </w:r>
    </w:p>
    <w:p w:rsidR="00000000" w:rsidRDefault="005829C2">
      <w:pPr>
        <w:pStyle w:val="FORMATTEXT"/>
        <w:ind w:firstLine="568"/>
        <w:jc w:val="both"/>
      </w:pPr>
    </w:p>
    <w:p w:rsidR="00000000" w:rsidRDefault="005829C2">
      <w:pPr>
        <w:pStyle w:val="FORMATTEXT"/>
        <w:ind w:firstLine="568"/>
        <w:jc w:val="both"/>
      </w:pPr>
      <w:r>
        <w:t>Поскольку</w:t>
      </w:r>
    </w:p>
    <w:p w:rsidR="00000000" w:rsidRDefault="005829C2">
      <w:pPr>
        <w:pStyle w:val="FORMATTEXT"/>
        <w:ind w:firstLine="568"/>
        <w:jc w:val="both"/>
      </w:pPr>
    </w:p>
    <w:p w:rsidR="00000000" w:rsidRDefault="00862BD0">
      <w:pPr>
        <w:pStyle w:val="FORMATTEXT"/>
        <w:jc w:val="center"/>
      </w:pPr>
      <w:r>
        <w:rPr>
          <w:noProof/>
          <w:position w:val="-11"/>
        </w:rPr>
        <w:drawing>
          <wp:inline distT="0" distB="0" distL="0" distR="0">
            <wp:extent cx="1219200" cy="266700"/>
            <wp:effectExtent l="0" t="0" r="0" b="0"/>
            <wp:docPr id="288" name="Рисунок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1219200" cy="266700"/>
                    </a:xfrm>
                    <a:prstGeom prst="rect">
                      <a:avLst/>
                    </a:prstGeom>
                    <a:noFill/>
                    <a:ln>
                      <a:noFill/>
                    </a:ln>
                  </pic:spPr>
                </pic:pic>
              </a:graphicData>
            </a:graphic>
          </wp:inline>
        </w:drawing>
      </w:r>
      <w:r w:rsidR="005829C2">
        <w:t xml:space="preserve">, </w:t>
      </w:r>
    </w:p>
    <w:p w:rsidR="00000000" w:rsidRDefault="005829C2">
      <w:pPr>
        <w:pStyle w:val="FORMATTEXT"/>
        <w:jc w:val="both"/>
      </w:pPr>
    </w:p>
    <w:p w:rsidR="00000000" w:rsidRDefault="005829C2">
      <w:pPr>
        <w:pStyle w:val="FORMATTEXT"/>
        <w:jc w:val="both"/>
      </w:pPr>
    </w:p>
    <w:p w:rsidR="00000000" w:rsidRDefault="005829C2">
      <w:pPr>
        <w:pStyle w:val="FORMATTEXT"/>
        <w:jc w:val="both"/>
      </w:pPr>
      <w:r>
        <w:t>то н</w:t>
      </w:r>
      <w:r>
        <w:t xml:space="preserve">аклон незначительный. Следовательно, нестабильность не наблюдалась. </w:t>
      </w:r>
    </w:p>
    <w:p w:rsidR="00000000" w:rsidRDefault="005829C2">
      <w:pPr>
        <w:pStyle w:val="FORMATTEXT"/>
        <w:ind w:firstLine="568"/>
        <w:jc w:val="both"/>
      </w:pPr>
      <w:r>
        <w:t>В качестве альтернативы можно оценить результаты таблицы дисперсионного анализа на регрессию. В таблице В.6 приведены эти результаты.</w:t>
      </w:r>
    </w:p>
    <w:p w:rsidR="00000000" w:rsidRDefault="005829C2">
      <w:pPr>
        <w:pStyle w:val="FORMATTEXT"/>
        <w:ind w:firstLine="568"/>
        <w:jc w:val="both"/>
      </w:pPr>
    </w:p>
    <w:p w:rsidR="00000000" w:rsidRDefault="005829C2">
      <w:pPr>
        <w:pStyle w:val="FORMATTEXT"/>
        <w:jc w:val="both"/>
      </w:pPr>
      <w:r>
        <w:t>Таблица В.6 - Таблица дисперсионного анализа на лине</w:t>
      </w:r>
      <w:r>
        <w:t>йную регрессию результатов исследования стабильности содержания хрома в почве</w:t>
      </w:r>
    </w:p>
    <w:tbl>
      <w:tblPr>
        <w:tblW w:w="0" w:type="auto"/>
        <w:tblInd w:w="28" w:type="dxa"/>
        <w:tblLayout w:type="fixed"/>
        <w:tblCellMar>
          <w:left w:w="90" w:type="dxa"/>
          <w:right w:w="90" w:type="dxa"/>
        </w:tblCellMar>
        <w:tblLook w:val="0000" w:firstRow="0" w:lastRow="0" w:firstColumn="0" w:lastColumn="0" w:noHBand="0" w:noVBand="0"/>
      </w:tblPr>
      <w:tblGrid>
        <w:gridCol w:w="1845"/>
        <w:gridCol w:w="1845"/>
        <w:gridCol w:w="1650"/>
        <w:gridCol w:w="1425"/>
        <w:gridCol w:w="1365"/>
        <w:gridCol w:w="945"/>
      </w:tblGrid>
      <w:tr w:rsidR="00000000">
        <w:tblPrEx>
          <w:tblCellMar>
            <w:top w:w="0" w:type="dxa"/>
            <w:bottom w:w="0" w:type="dxa"/>
          </w:tblCellMar>
        </w:tblPrEx>
        <w:tc>
          <w:tcPr>
            <w:tcW w:w="184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184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1650"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142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136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94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84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  </w:t>
            </w:r>
          </w:p>
        </w:tc>
        <w:tc>
          <w:tcPr>
            <w:tcW w:w="184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Степени свободы</w:t>
            </w:r>
          </w:p>
        </w:tc>
        <w:tc>
          <w:tcPr>
            <w:tcW w:w="165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i/>
                <w:iCs/>
                <w:sz w:val="18"/>
                <w:szCs w:val="18"/>
              </w:rPr>
              <w:t>SS</w:t>
            </w:r>
            <w:r>
              <w:rPr>
                <w:sz w:val="18"/>
                <w:szCs w:val="18"/>
              </w:rPr>
              <w:t xml:space="preserve"> </w:t>
            </w:r>
          </w:p>
        </w:tc>
        <w:tc>
          <w:tcPr>
            <w:tcW w:w="142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i/>
                <w:iCs/>
                <w:sz w:val="18"/>
                <w:szCs w:val="18"/>
              </w:rPr>
              <w:t>MS</w:t>
            </w:r>
            <w:r>
              <w:rPr>
                <w:sz w:val="18"/>
                <w:szCs w:val="18"/>
              </w:rPr>
              <w:t xml:space="preserve"> </w:t>
            </w:r>
          </w:p>
        </w:tc>
        <w:tc>
          <w:tcPr>
            <w:tcW w:w="136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i/>
                <w:iCs/>
                <w:sz w:val="18"/>
                <w:szCs w:val="18"/>
              </w:rPr>
              <w:t>F</w:t>
            </w:r>
            <w:r>
              <w:rPr>
                <w:sz w:val="18"/>
                <w:szCs w:val="18"/>
              </w:rPr>
              <w:t xml:space="preserve"> </w:t>
            </w:r>
          </w:p>
        </w:tc>
        <w:tc>
          <w:tcPr>
            <w:tcW w:w="94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i/>
                <w:iCs/>
                <w:sz w:val="18"/>
                <w:szCs w:val="18"/>
              </w:rPr>
              <w:t>p</w:t>
            </w:r>
            <w:r>
              <w:rPr>
                <w:sz w:val="18"/>
                <w:szCs w:val="18"/>
              </w:rPr>
              <w:t xml:space="preserve"> </w:t>
            </w:r>
          </w:p>
        </w:tc>
      </w:tr>
      <w:tr w:rsidR="00000000">
        <w:tblPrEx>
          <w:tblCellMar>
            <w:top w:w="0" w:type="dxa"/>
            <w:bottom w:w="0" w:type="dxa"/>
          </w:tblCellMar>
        </w:tblPrEx>
        <w:tc>
          <w:tcPr>
            <w:tcW w:w="184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Регрессия </w:t>
            </w:r>
          </w:p>
        </w:tc>
        <w:tc>
          <w:tcPr>
            <w:tcW w:w="184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w:t>
            </w:r>
          </w:p>
        </w:tc>
        <w:tc>
          <w:tcPr>
            <w:tcW w:w="165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0,031205 </w:t>
            </w:r>
          </w:p>
        </w:tc>
        <w:tc>
          <w:tcPr>
            <w:tcW w:w="142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0,031205 </w:t>
            </w:r>
          </w:p>
        </w:tc>
        <w:tc>
          <w:tcPr>
            <w:tcW w:w="136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0,003914 </w:t>
            </w:r>
          </w:p>
        </w:tc>
        <w:tc>
          <w:tcPr>
            <w:tcW w:w="94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0,956 </w:t>
            </w:r>
          </w:p>
        </w:tc>
      </w:tr>
      <w:tr w:rsidR="00000000">
        <w:tblPrEx>
          <w:tblCellMar>
            <w:top w:w="0" w:type="dxa"/>
            <w:bottom w:w="0" w:type="dxa"/>
          </w:tblCellMar>
        </w:tblPrEx>
        <w:tc>
          <w:tcPr>
            <w:tcW w:w="184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Остаточная </w:t>
            </w:r>
          </w:p>
        </w:tc>
        <w:tc>
          <w:tcPr>
            <w:tcW w:w="184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2</w:t>
            </w:r>
          </w:p>
        </w:tc>
        <w:tc>
          <w:tcPr>
            <w:tcW w:w="165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15,947 </w:t>
            </w:r>
          </w:p>
        </w:tc>
        <w:tc>
          <w:tcPr>
            <w:tcW w:w="142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7,9733 </w:t>
            </w:r>
          </w:p>
        </w:tc>
        <w:tc>
          <w:tcPr>
            <w:tcW w:w="136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rPr>
                <w:sz w:val="18"/>
                <w:szCs w:val="18"/>
              </w:rPr>
            </w:pPr>
            <w:r>
              <w:rPr>
                <w:sz w:val="18"/>
                <w:szCs w:val="18"/>
              </w:rPr>
              <w:t xml:space="preserve">  </w:t>
            </w:r>
          </w:p>
        </w:tc>
        <w:tc>
          <w:tcPr>
            <w:tcW w:w="9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829C2">
            <w:pPr>
              <w:pStyle w:val="a3"/>
              <w:rPr>
                <w:sz w:val="18"/>
                <w:szCs w:val="18"/>
              </w:rPr>
            </w:pPr>
            <w:r>
              <w:rPr>
                <w:sz w:val="18"/>
                <w:szCs w:val="18"/>
              </w:rPr>
              <w:t xml:space="preserve">  </w:t>
            </w:r>
          </w:p>
        </w:tc>
      </w:tr>
      <w:tr w:rsidR="00000000">
        <w:tblPrEx>
          <w:tblCellMar>
            <w:top w:w="0" w:type="dxa"/>
            <w:bottom w:w="0" w:type="dxa"/>
          </w:tblCellMar>
        </w:tblPrEx>
        <w:tc>
          <w:tcPr>
            <w:tcW w:w="1845" w:type="dxa"/>
            <w:tcBorders>
              <w:top w:val="nil"/>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Полная </w:t>
            </w:r>
          </w:p>
        </w:tc>
        <w:tc>
          <w:tcPr>
            <w:tcW w:w="1845" w:type="dxa"/>
            <w:tcBorders>
              <w:top w:val="nil"/>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3</w:t>
            </w:r>
          </w:p>
        </w:tc>
        <w:tc>
          <w:tcPr>
            <w:tcW w:w="1650" w:type="dxa"/>
            <w:tcBorders>
              <w:top w:val="nil"/>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15,978 </w:t>
            </w:r>
          </w:p>
        </w:tc>
        <w:tc>
          <w:tcPr>
            <w:tcW w:w="1425" w:type="dxa"/>
            <w:tcBorders>
              <w:top w:val="nil"/>
              <w:left w:val="single" w:sz="6" w:space="0" w:color="auto"/>
              <w:bottom w:val="single" w:sz="6" w:space="0" w:color="auto"/>
              <w:right w:val="nil"/>
            </w:tcBorders>
            <w:tcMar>
              <w:top w:w="114" w:type="dxa"/>
              <w:left w:w="28" w:type="dxa"/>
              <w:bottom w:w="114" w:type="dxa"/>
              <w:right w:w="28" w:type="dxa"/>
            </w:tcMar>
          </w:tcPr>
          <w:p w:rsidR="00000000" w:rsidRDefault="005829C2">
            <w:pPr>
              <w:pStyle w:val="a3"/>
              <w:rPr>
                <w:sz w:val="18"/>
                <w:szCs w:val="18"/>
              </w:rPr>
            </w:pPr>
            <w:r>
              <w:rPr>
                <w:sz w:val="18"/>
                <w:szCs w:val="18"/>
              </w:rPr>
              <w:t xml:space="preserve">  </w:t>
            </w:r>
          </w:p>
        </w:tc>
        <w:tc>
          <w:tcPr>
            <w:tcW w:w="1365" w:type="dxa"/>
            <w:tcBorders>
              <w:top w:val="nil"/>
              <w:left w:val="single" w:sz="6" w:space="0" w:color="auto"/>
              <w:bottom w:val="single" w:sz="6" w:space="0" w:color="auto"/>
              <w:right w:val="nil"/>
            </w:tcBorders>
            <w:tcMar>
              <w:top w:w="114" w:type="dxa"/>
              <w:left w:w="28" w:type="dxa"/>
              <w:bottom w:w="114" w:type="dxa"/>
              <w:right w:w="28" w:type="dxa"/>
            </w:tcMar>
          </w:tcPr>
          <w:p w:rsidR="00000000" w:rsidRDefault="005829C2">
            <w:pPr>
              <w:pStyle w:val="a3"/>
              <w:rPr>
                <w:sz w:val="18"/>
                <w:szCs w:val="18"/>
              </w:rPr>
            </w:pPr>
            <w:r>
              <w:rPr>
                <w:sz w:val="18"/>
                <w:szCs w:val="18"/>
              </w:rPr>
              <w:t xml:space="preserve">  </w:t>
            </w:r>
          </w:p>
        </w:tc>
        <w:tc>
          <w:tcPr>
            <w:tcW w:w="94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5829C2">
            <w:pPr>
              <w:pStyle w:val="a3"/>
              <w:rPr>
                <w:sz w:val="18"/>
                <w:szCs w:val="18"/>
              </w:rPr>
            </w:pPr>
            <w:r>
              <w:rPr>
                <w:sz w:val="18"/>
                <w:szCs w:val="18"/>
              </w:rPr>
              <w:t xml:space="preserve">  </w:t>
            </w:r>
          </w:p>
        </w:tc>
      </w:tr>
    </w:tbl>
    <w:p w:rsidR="00000000" w:rsidRDefault="005829C2">
      <w:pPr>
        <w:pStyle w:val="a3"/>
      </w:pPr>
    </w:p>
    <w:p w:rsidR="00000000" w:rsidRDefault="005829C2">
      <w:pPr>
        <w:pStyle w:val="FORMATTEXT"/>
        <w:ind w:firstLine="568"/>
        <w:jc w:val="both"/>
      </w:pPr>
      <w:r>
        <w:t>Значение </w:t>
      </w:r>
      <w:r>
        <w:rPr>
          <w:i/>
          <w:iCs/>
        </w:rPr>
        <w:t>p</w:t>
      </w:r>
      <w:r>
        <w:t xml:space="preserve"> показывае</w:t>
      </w:r>
      <w:r>
        <w:t xml:space="preserve">т, что регрессия незначительна (она становится значительной для доверительного уровня, </w:t>
      </w:r>
      <w:proofErr w:type="gramStart"/>
      <w:r>
        <w:t>например</w:t>
      </w:r>
      <w:proofErr w:type="gramEnd"/>
      <w:r>
        <w:t xml:space="preserve"> 95% для </w:t>
      </w:r>
      <w:r>
        <w:rPr>
          <w:i/>
          <w:iCs/>
        </w:rPr>
        <w:t>p</w:t>
      </w:r>
      <w:r>
        <w:t>&lt;0,05).</w:t>
      </w:r>
    </w:p>
    <w:p w:rsidR="00000000" w:rsidRDefault="005829C2">
      <w:pPr>
        <w:pStyle w:val="FORMATTEXT"/>
        <w:ind w:firstLine="568"/>
        <w:jc w:val="both"/>
      </w:pPr>
    </w:p>
    <w:p w:rsidR="00000000" w:rsidRDefault="005829C2">
      <w:pPr>
        <w:pStyle w:val="FORMATTEXT"/>
        <w:ind w:firstLine="568"/>
        <w:jc w:val="both"/>
      </w:pPr>
      <w:r>
        <w:t>В соответствии с подходом 8.5 вклад неопределенности от долговременной стабильности становится:</w:t>
      </w:r>
    </w:p>
    <w:p w:rsidR="00000000" w:rsidRDefault="005829C2">
      <w:pPr>
        <w:pStyle w:val="FORMATTEXT"/>
        <w:ind w:firstLine="568"/>
        <w:jc w:val="both"/>
      </w:pPr>
    </w:p>
    <w:p w:rsidR="00000000" w:rsidRDefault="00862BD0">
      <w:pPr>
        <w:pStyle w:val="FORMATTEXT"/>
        <w:jc w:val="center"/>
      </w:pPr>
      <w:r>
        <w:rPr>
          <w:noProof/>
          <w:position w:val="-10"/>
        </w:rPr>
        <w:drawing>
          <wp:inline distT="0" distB="0" distL="0" distR="0">
            <wp:extent cx="1981200" cy="228600"/>
            <wp:effectExtent l="0" t="0" r="0" b="0"/>
            <wp:docPr id="289" name="Рисунок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1981200" cy="228600"/>
                    </a:xfrm>
                    <a:prstGeom prst="rect">
                      <a:avLst/>
                    </a:prstGeom>
                    <a:noFill/>
                    <a:ln>
                      <a:noFill/>
                    </a:ln>
                  </pic:spPr>
                </pic:pic>
              </a:graphicData>
            </a:graphic>
          </wp:inline>
        </w:drawing>
      </w:r>
      <w:r w:rsidR="005829C2">
        <w:t xml:space="preserve">мг/кг </w:t>
      </w:r>
    </w:p>
    <w:p w:rsidR="00000000" w:rsidRDefault="005829C2">
      <w:pPr>
        <w:pStyle w:val="FORMATTEXT"/>
        <w:jc w:val="both"/>
      </w:pPr>
    </w:p>
    <w:p w:rsidR="00000000" w:rsidRDefault="005829C2">
      <w:pPr>
        <w:pStyle w:val="FORMATTEXT"/>
        <w:jc w:val="both"/>
      </w:pPr>
    </w:p>
    <w:p w:rsidR="00000000" w:rsidRDefault="005829C2">
      <w:pPr>
        <w:pStyle w:val="FORMATTEXT"/>
        <w:jc w:val="both"/>
      </w:pPr>
      <w:r>
        <w:t xml:space="preserve">для срока хранения </w:t>
      </w:r>
      <w:r>
        <w:rPr>
          <w:i/>
          <w:iCs/>
        </w:rPr>
        <w:t>t</w:t>
      </w:r>
      <w:r>
        <w:t xml:space="preserve">=36 </w:t>
      </w:r>
      <w:proofErr w:type="spellStart"/>
      <w:r>
        <w:t>мес</w:t>
      </w:r>
      <w:proofErr w:type="spellEnd"/>
      <w:r>
        <w:t xml:space="preserve"> Ограничивающим фактором в этом примере являются относительно скудные данные по стабильности. Можно ожидать, что чистый эффект от нестабильности хрома в почве будет значительно меньше.</w:t>
      </w:r>
    </w:p>
    <w:p w:rsidR="00000000" w:rsidRDefault="005829C2">
      <w:pPr>
        <w:pStyle w:val="FORMATTEXT"/>
        <w:ind w:firstLine="568"/>
        <w:jc w:val="both"/>
      </w:pPr>
      <w:r>
        <w:rPr>
          <w:b/>
          <w:bCs/>
        </w:rPr>
        <w:t>В.6 </w:t>
      </w:r>
      <w:proofErr w:type="spellStart"/>
      <w:r>
        <w:rPr>
          <w:b/>
          <w:bCs/>
        </w:rPr>
        <w:t>Характеризация</w:t>
      </w:r>
      <w:proofErr w:type="spellEnd"/>
      <w:r>
        <w:rPr>
          <w:b/>
          <w:bCs/>
        </w:rPr>
        <w:t xml:space="preserve"> с использованием дисперси</w:t>
      </w:r>
      <w:r>
        <w:rPr>
          <w:b/>
          <w:bCs/>
        </w:rPr>
        <w:t>онного анализа</w:t>
      </w:r>
    </w:p>
    <w:p w:rsidR="00000000" w:rsidRDefault="005829C2">
      <w:pPr>
        <w:pStyle w:val="FORMATTEXT"/>
        <w:ind w:firstLine="568"/>
        <w:jc w:val="both"/>
      </w:pPr>
    </w:p>
    <w:p w:rsidR="00000000" w:rsidRDefault="005829C2">
      <w:pPr>
        <w:pStyle w:val="FORMATTEXT"/>
        <w:ind w:firstLine="568"/>
        <w:jc w:val="both"/>
      </w:pPr>
      <w:r>
        <w:t xml:space="preserve">Следующий пример взят из </w:t>
      </w:r>
      <w:proofErr w:type="spellStart"/>
      <w:r>
        <w:t>характеризации</w:t>
      </w:r>
      <w:proofErr w:type="spellEnd"/>
      <w:r>
        <w:t xml:space="preserve"> СО на основе стандартного метода IFCC для </w:t>
      </w:r>
      <w:r w:rsidR="00862BD0">
        <w:rPr>
          <w:noProof/>
          <w:position w:val="-7"/>
        </w:rPr>
        <w:drawing>
          <wp:inline distT="0" distB="0" distL="0" distR="0">
            <wp:extent cx="114300" cy="161925"/>
            <wp:effectExtent l="0" t="0" r="0" b="9525"/>
            <wp:docPr id="290" name="Рисунок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14300" cy="161925"/>
                    </a:xfrm>
                    <a:prstGeom prst="rect">
                      <a:avLst/>
                    </a:prstGeom>
                    <a:noFill/>
                    <a:ln>
                      <a:noFill/>
                    </a:ln>
                  </pic:spPr>
                </pic:pic>
              </a:graphicData>
            </a:graphic>
          </wp:inline>
        </w:drawing>
      </w:r>
      <w:r>
        <w:t>-</w:t>
      </w:r>
      <w:proofErr w:type="spellStart"/>
      <w:r>
        <w:t>глютамилтрансферазы</w:t>
      </w:r>
      <w:proofErr w:type="spellEnd"/>
      <w:r>
        <w:t xml:space="preserve"> (ГГТ) при температуре 37°С. Сертификация (аттестация) была основана на согласованности между результат</w:t>
      </w:r>
      <w:r>
        <w:t xml:space="preserve">ами, полученными в разных лабораториях, каждая из которых применяла стандартную рабочую процедуру (СРП) для измерений каталитической концентрации при 37°С. Каждый участник получил семь ампул </w:t>
      </w:r>
      <w:proofErr w:type="spellStart"/>
      <w:r>
        <w:t>лиофилизированного</w:t>
      </w:r>
      <w:proofErr w:type="spellEnd"/>
      <w:r>
        <w:t xml:space="preserve"> материала ГГТ вместе с пробами для внутреннего</w:t>
      </w:r>
      <w:r>
        <w:t xml:space="preserve"> контроля качества, СРП, процедурой восстановления и формами представления результатов и запрашиваемой информации. Три ампулы были восстановлены за два дня каждая, и в день восстановления выполнялось одно измерение каталитической концентрации ГГТ на каждой</w:t>
      </w:r>
      <w:r>
        <w:t xml:space="preserve"> ампуле. Вместе с СО рассылались ампулы, содержащие серийно выпускаемые калибраторы в качестве независимых средств оценки качества.</w:t>
      </w:r>
    </w:p>
    <w:p w:rsidR="00000000" w:rsidRDefault="005829C2">
      <w:pPr>
        <w:pStyle w:val="FORMATTEXT"/>
        <w:ind w:firstLine="568"/>
        <w:jc w:val="both"/>
      </w:pPr>
    </w:p>
    <w:p w:rsidR="00000000" w:rsidRDefault="005829C2">
      <w:pPr>
        <w:pStyle w:val="FORMATTEXT"/>
        <w:ind w:firstLine="568"/>
        <w:jc w:val="both"/>
      </w:pPr>
      <w:proofErr w:type="spellStart"/>
      <w:r>
        <w:t>Прослеживаемость</w:t>
      </w:r>
      <w:proofErr w:type="spellEnd"/>
      <w:r>
        <w:t> была продемонстрирована гравиметрическим, волюметрическим и термометрическим методами и задокументирована.</w:t>
      </w:r>
      <w:r>
        <w:t xml:space="preserve"> </w:t>
      </w:r>
      <w:proofErr w:type="spellStart"/>
      <w:r>
        <w:t>Прослеживаемость</w:t>
      </w:r>
      <w:proofErr w:type="spellEnd"/>
      <w:r>
        <w:t xml:space="preserve"> спектрофотометрического метода была подтверждена через использование сертифицированных (аттестованных) растворов бихромата калия.</w:t>
      </w:r>
    </w:p>
    <w:p w:rsidR="00000000" w:rsidRDefault="005829C2">
      <w:pPr>
        <w:pStyle w:val="FORMATTEXT"/>
        <w:ind w:firstLine="568"/>
        <w:jc w:val="both"/>
      </w:pPr>
    </w:p>
    <w:p w:rsidR="00000000" w:rsidRDefault="005829C2">
      <w:pPr>
        <w:pStyle w:val="FORMATTEXT"/>
        <w:ind w:firstLine="568"/>
        <w:jc w:val="both"/>
      </w:pPr>
      <w:r>
        <w:t>Было заранее оговорено, что межлабораторное относительное стандартное отклонение, превышающее 2,5%, не може</w:t>
      </w:r>
      <w:r>
        <w:t xml:space="preserve">т быть принято для сертификационных (аттестационных) измерений. Одна лаборатория превысила этот предел. </w:t>
      </w:r>
      <w:proofErr w:type="gramStart"/>
      <w:r>
        <w:t>В связи с тем что</w:t>
      </w:r>
      <w:proofErr w:type="gramEnd"/>
      <w:r>
        <w:t xml:space="preserve"> результаты этой лаборатории были также смещены для контроля качества материала, было решено не использовать эти данные. В таблице В.7 </w:t>
      </w:r>
      <w:r>
        <w:t>приведены отдельные результаты вместе с лабораторными средними шести измерений, стандартными измерениями и относительными стандартными отклонениями от 12 лабораторий (результаты округлены до одного и того же десятичного разряда).</w:t>
      </w:r>
    </w:p>
    <w:p w:rsidR="00000000" w:rsidRDefault="005829C2">
      <w:pPr>
        <w:pStyle w:val="FORMATTEXT"/>
        <w:ind w:firstLine="568"/>
        <w:jc w:val="both"/>
      </w:pPr>
    </w:p>
    <w:p w:rsidR="00000000" w:rsidRDefault="005829C2">
      <w:pPr>
        <w:pStyle w:val="FORMATTEXT"/>
        <w:jc w:val="both"/>
      </w:pPr>
      <w:r>
        <w:t xml:space="preserve">Таблица В.7 - Данные </w:t>
      </w:r>
      <w:proofErr w:type="spellStart"/>
      <w:r>
        <w:t>хара</w:t>
      </w:r>
      <w:r>
        <w:t>ктеризации</w:t>
      </w:r>
      <w:proofErr w:type="spellEnd"/>
      <w:r>
        <w:t xml:space="preserve"> на основе межлабораторного исследования ГГТ</w:t>
      </w:r>
    </w:p>
    <w:tbl>
      <w:tblPr>
        <w:tblW w:w="0" w:type="auto"/>
        <w:tblInd w:w="28" w:type="dxa"/>
        <w:tblLayout w:type="fixed"/>
        <w:tblCellMar>
          <w:left w:w="90" w:type="dxa"/>
          <w:right w:w="90" w:type="dxa"/>
        </w:tblCellMar>
        <w:tblLook w:val="0000" w:firstRow="0" w:lastRow="0" w:firstColumn="0" w:lastColumn="0" w:noHBand="0" w:noVBand="0"/>
      </w:tblPr>
      <w:tblGrid>
        <w:gridCol w:w="1155"/>
        <w:gridCol w:w="855"/>
        <w:gridCol w:w="840"/>
        <w:gridCol w:w="840"/>
        <w:gridCol w:w="855"/>
        <w:gridCol w:w="840"/>
        <w:gridCol w:w="840"/>
        <w:gridCol w:w="1020"/>
        <w:gridCol w:w="795"/>
        <w:gridCol w:w="1080"/>
        <w:gridCol w:w="15"/>
        <w:gridCol w:w="165"/>
      </w:tblGrid>
      <w:tr w:rsidR="00000000">
        <w:tblPrEx>
          <w:tblCellMar>
            <w:top w:w="0" w:type="dxa"/>
            <w:bottom w:w="0" w:type="dxa"/>
          </w:tblCellMar>
        </w:tblPrEx>
        <w:tc>
          <w:tcPr>
            <w:tcW w:w="115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85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840"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840"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85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840"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840"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1020"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79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1080"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180" w:type="dxa"/>
            <w:gridSpan w:val="2"/>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rPr>
          <w:gridAfter w:val="1"/>
          <w:wAfter w:w="165" w:type="dxa"/>
        </w:trPr>
        <w:tc>
          <w:tcPr>
            <w:tcW w:w="11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FORMATTEXT"/>
              <w:jc w:val="center"/>
              <w:rPr>
                <w:sz w:val="18"/>
                <w:szCs w:val="18"/>
              </w:rPr>
            </w:pPr>
            <w:proofErr w:type="spellStart"/>
            <w:r>
              <w:rPr>
                <w:sz w:val="18"/>
                <w:szCs w:val="18"/>
              </w:rPr>
              <w:t>Лабора</w:t>
            </w:r>
            <w:proofErr w:type="spellEnd"/>
            <w:r>
              <w:rPr>
                <w:sz w:val="18"/>
                <w:szCs w:val="18"/>
              </w:rPr>
              <w:t>-</w:t>
            </w:r>
          </w:p>
          <w:p w:rsidR="00000000" w:rsidRDefault="005829C2">
            <w:pPr>
              <w:pStyle w:val="a3"/>
              <w:jc w:val="center"/>
              <w:rPr>
                <w:sz w:val="18"/>
                <w:szCs w:val="18"/>
              </w:rPr>
            </w:pPr>
            <w:r>
              <w:rPr>
                <w:sz w:val="18"/>
                <w:szCs w:val="18"/>
              </w:rPr>
              <w:t xml:space="preserve">тория </w:t>
            </w:r>
          </w:p>
        </w:tc>
        <w:tc>
          <w:tcPr>
            <w:tcW w:w="5070" w:type="dxa"/>
            <w:gridSpan w:val="6"/>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Результаты эксперимента IU/L </w:t>
            </w:r>
          </w:p>
        </w:tc>
        <w:tc>
          <w:tcPr>
            <w:tcW w:w="102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FORMATTEXT"/>
              <w:jc w:val="center"/>
              <w:rPr>
                <w:sz w:val="18"/>
                <w:szCs w:val="18"/>
              </w:rPr>
            </w:pPr>
            <w:r>
              <w:rPr>
                <w:sz w:val="18"/>
                <w:szCs w:val="18"/>
              </w:rPr>
              <w:t>Среднее</w:t>
            </w:r>
          </w:p>
          <w:p w:rsidR="00000000" w:rsidRDefault="005829C2">
            <w:pPr>
              <w:pStyle w:val="a3"/>
              <w:jc w:val="center"/>
              <w:rPr>
                <w:sz w:val="18"/>
                <w:szCs w:val="18"/>
              </w:rPr>
            </w:pPr>
            <w:r>
              <w:rPr>
                <w:sz w:val="18"/>
                <w:szCs w:val="18"/>
              </w:rPr>
              <w:t>IU/L</w:t>
            </w:r>
          </w:p>
        </w:tc>
        <w:tc>
          <w:tcPr>
            <w:tcW w:w="7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FORMATTEXT"/>
              <w:jc w:val="center"/>
              <w:rPr>
                <w:sz w:val="18"/>
                <w:szCs w:val="18"/>
              </w:rPr>
            </w:pPr>
            <w:r>
              <w:rPr>
                <w:sz w:val="18"/>
                <w:szCs w:val="18"/>
              </w:rPr>
              <w:t>CКО</w:t>
            </w:r>
          </w:p>
          <w:p w:rsidR="00000000" w:rsidRDefault="005829C2">
            <w:pPr>
              <w:pStyle w:val="a3"/>
              <w:jc w:val="center"/>
              <w:rPr>
                <w:sz w:val="18"/>
                <w:szCs w:val="18"/>
              </w:rPr>
            </w:pPr>
            <w:r>
              <w:rPr>
                <w:sz w:val="18"/>
                <w:szCs w:val="18"/>
              </w:rPr>
              <w:t xml:space="preserve">IU/L </w:t>
            </w:r>
          </w:p>
        </w:tc>
        <w:tc>
          <w:tcPr>
            <w:tcW w:w="1095" w:type="dxa"/>
            <w:gridSpan w:val="2"/>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proofErr w:type="spellStart"/>
            <w:r>
              <w:rPr>
                <w:sz w:val="18"/>
                <w:szCs w:val="18"/>
              </w:rPr>
              <w:t>Отн</w:t>
            </w:r>
            <w:proofErr w:type="spellEnd"/>
            <w:r>
              <w:rPr>
                <w:sz w:val="18"/>
                <w:szCs w:val="18"/>
              </w:rPr>
              <w:t xml:space="preserve">. СКО % </w:t>
            </w:r>
          </w:p>
        </w:tc>
      </w:tr>
      <w:tr w:rsidR="00000000">
        <w:tblPrEx>
          <w:tblCellMar>
            <w:top w:w="0" w:type="dxa"/>
            <w:bottom w:w="0" w:type="dxa"/>
          </w:tblCellMar>
        </w:tblPrEx>
        <w:tc>
          <w:tcPr>
            <w:tcW w:w="11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01</w:t>
            </w:r>
          </w:p>
        </w:tc>
        <w:tc>
          <w:tcPr>
            <w:tcW w:w="8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118,1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118,9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119,0 </w:t>
            </w:r>
          </w:p>
        </w:tc>
        <w:tc>
          <w:tcPr>
            <w:tcW w:w="8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118,1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118,1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119,2 </w:t>
            </w:r>
          </w:p>
        </w:tc>
        <w:tc>
          <w:tcPr>
            <w:tcW w:w="102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118,6 </w:t>
            </w:r>
          </w:p>
        </w:tc>
        <w:tc>
          <w:tcPr>
            <w:tcW w:w="7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0,5 </w:t>
            </w:r>
          </w:p>
        </w:tc>
        <w:tc>
          <w:tcPr>
            <w:tcW w:w="108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0,4 </w:t>
            </w:r>
          </w:p>
        </w:tc>
        <w:tc>
          <w:tcPr>
            <w:tcW w:w="180" w:type="dxa"/>
            <w:gridSpan w:val="2"/>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1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04</w:t>
            </w:r>
          </w:p>
        </w:tc>
        <w:tc>
          <w:tcPr>
            <w:tcW w:w="8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112,6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112,6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110,6 </w:t>
            </w:r>
          </w:p>
        </w:tc>
        <w:tc>
          <w:tcPr>
            <w:tcW w:w="8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114,0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114,0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114,0 </w:t>
            </w:r>
          </w:p>
        </w:tc>
        <w:tc>
          <w:tcPr>
            <w:tcW w:w="102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113,0 </w:t>
            </w:r>
          </w:p>
        </w:tc>
        <w:tc>
          <w:tcPr>
            <w:tcW w:w="7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1,3 </w:t>
            </w:r>
          </w:p>
        </w:tc>
        <w:tc>
          <w:tcPr>
            <w:tcW w:w="108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 </w:t>
            </w:r>
          </w:p>
        </w:tc>
        <w:tc>
          <w:tcPr>
            <w:tcW w:w="180" w:type="dxa"/>
            <w:gridSpan w:val="2"/>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1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05</w:t>
            </w:r>
          </w:p>
        </w:tc>
        <w:tc>
          <w:tcPr>
            <w:tcW w:w="8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111,9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113,7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110,3 </w:t>
            </w:r>
          </w:p>
        </w:tc>
        <w:tc>
          <w:tcPr>
            <w:tcW w:w="8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112,4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113,0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110,9 </w:t>
            </w:r>
          </w:p>
        </w:tc>
        <w:tc>
          <w:tcPr>
            <w:tcW w:w="102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112,0 </w:t>
            </w:r>
          </w:p>
        </w:tc>
        <w:tc>
          <w:tcPr>
            <w:tcW w:w="7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1,3 </w:t>
            </w:r>
          </w:p>
        </w:tc>
        <w:tc>
          <w:tcPr>
            <w:tcW w:w="108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 </w:t>
            </w:r>
          </w:p>
        </w:tc>
        <w:tc>
          <w:tcPr>
            <w:tcW w:w="180" w:type="dxa"/>
            <w:gridSpan w:val="2"/>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1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07</w:t>
            </w:r>
          </w:p>
        </w:tc>
        <w:tc>
          <w:tcPr>
            <w:tcW w:w="8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111,1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111,4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115,1 </w:t>
            </w:r>
          </w:p>
        </w:tc>
        <w:tc>
          <w:tcPr>
            <w:tcW w:w="8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109,3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111,0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109,7 </w:t>
            </w:r>
          </w:p>
        </w:tc>
        <w:tc>
          <w:tcPr>
            <w:tcW w:w="102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111,0 </w:t>
            </w:r>
          </w:p>
        </w:tc>
        <w:tc>
          <w:tcPr>
            <w:tcW w:w="7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2,1 </w:t>
            </w:r>
          </w:p>
        </w:tc>
        <w:tc>
          <w:tcPr>
            <w:tcW w:w="108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1,8 </w:t>
            </w:r>
          </w:p>
        </w:tc>
        <w:tc>
          <w:tcPr>
            <w:tcW w:w="180" w:type="dxa"/>
            <w:gridSpan w:val="2"/>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1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08</w:t>
            </w:r>
          </w:p>
        </w:tc>
        <w:tc>
          <w:tcPr>
            <w:tcW w:w="8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113,0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115,0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112,6 </w:t>
            </w:r>
          </w:p>
        </w:tc>
        <w:tc>
          <w:tcPr>
            <w:tcW w:w="8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112,6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113,7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113,1 </w:t>
            </w:r>
          </w:p>
        </w:tc>
        <w:tc>
          <w:tcPr>
            <w:tcW w:w="102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113,3 </w:t>
            </w:r>
          </w:p>
        </w:tc>
        <w:tc>
          <w:tcPr>
            <w:tcW w:w="7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0,9 </w:t>
            </w:r>
          </w:p>
        </w:tc>
        <w:tc>
          <w:tcPr>
            <w:tcW w:w="108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0,8 </w:t>
            </w:r>
          </w:p>
        </w:tc>
        <w:tc>
          <w:tcPr>
            <w:tcW w:w="180" w:type="dxa"/>
            <w:gridSpan w:val="2"/>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1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09</w:t>
            </w:r>
          </w:p>
        </w:tc>
        <w:tc>
          <w:tcPr>
            <w:tcW w:w="8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113,3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112,4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113,8 </w:t>
            </w:r>
          </w:p>
        </w:tc>
        <w:tc>
          <w:tcPr>
            <w:tcW w:w="8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110,2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112,5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114,4 </w:t>
            </w:r>
          </w:p>
        </w:tc>
        <w:tc>
          <w:tcPr>
            <w:tcW w:w="102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112,8 </w:t>
            </w:r>
          </w:p>
        </w:tc>
        <w:tc>
          <w:tcPr>
            <w:tcW w:w="7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1,5 </w:t>
            </w:r>
          </w:p>
        </w:tc>
        <w:tc>
          <w:tcPr>
            <w:tcW w:w="108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1,3 </w:t>
            </w:r>
          </w:p>
        </w:tc>
        <w:tc>
          <w:tcPr>
            <w:tcW w:w="180" w:type="dxa"/>
            <w:gridSpan w:val="2"/>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1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10</w:t>
            </w:r>
          </w:p>
        </w:tc>
        <w:tc>
          <w:tcPr>
            <w:tcW w:w="8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114,0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115,3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114,9 </w:t>
            </w:r>
          </w:p>
        </w:tc>
        <w:tc>
          <w:tcPr>
            <w:tcW w:w="8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113,7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114,3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112,8 </w:t>
            </w:r>
          </w:p>
        </w:tc>
        <w:tc>
          <w:tcPr>
            <w:tcW w:w="102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114,2 </w:t>
            </w:r>
          </w:p>
        </w:tc>
        <w:tc>
          <w:tcPr>
            <w:tcW w:w="7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0,9 </w:t>
            </w:r>
          </w:p>
        </w:tc>
        <w:tc>
          <w:tcPr>
            <w:tcW w:w="108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0,8 </w:t>
            </w:r>
          </w:p>
        </w:tc>
        <w:tc>
          <w:tcPr>
            <w:tcW w:w="180" w:type="dxa"/>
            <w:gridSpan w:val="2"/>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1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11</w:t>
            </w:r>
          </w:p>
        </w:tc>
        <w:tc>
          <w:tcPr>
            <w:tcW w:w="8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116,8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116,9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117,4 </w:t>
            </w:r>
          </w:p>
        </w:tc>
        <w:tc>
          <w:tcPr>
            <w:tcW w:w="8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116,7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117,0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116,6 </w:t>
            </w:r>
          </w:p>
        </w:tc>
        <w:tc>
          <w:tcPr>
            <w:tcW w:w="102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116,9 </w:t>
            </w:r>
          </w:p>
        </w:tc>
        <w:tc>
          <w:tcPr>
            <w:tcW w:w="7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0,3 </w:t>
            </w:r>
          </w:p>
        </w:tc>
        <w:tc>
          <w:tcPr>
            <w:tcW w:w="108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0,2 </w:t>
            </w:r>
          </w:p>
        </w:tc>
        <w:tc>
          <w:tcPr>
            <w:tcW w:w="180" w:type="dxa"/>
            <w:gridSpan w:val="2"/>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1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13</w:t>
            </w:r>
          </w:p>
        </w:tc>
        <w:tc>
          <w:tcPr>
            <w:tcW w:w="8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112,6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113,0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113,7 </w:t>
            </w:r>
          </w:p>
        </w:tc>
        <w:tc>
          <w:tcPr>
            <w:tcW w:w="8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111,7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113,6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111,0 </w:t>
            </w:r>
          </w:p>
        </w:tc>
        <w:tc>
          <w:tcPr>
            <w:tcW w:w="102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112,6 </w:t>
            </w:r>
          </w:p>
        </w:tc>
        <w:tc>
          <w:tcPr>
            <w:tcW w:w="7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 </w:t>
            </w:r>
          </w:p>
        </w:tc>
        <w:tc>
          <w:tcPr>
            <w:tcW w:w="108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1,0 </w:t>
            </w:r>
          </w:p>
        </w:tc>
        <w:tc>
          <w:tcPr>
            <w:tcW w:w="180" w:type="dxa"/>
            <w:gridSpan w:val="2"/>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1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14</w:t>
            </w:r>
          </w:p>
        </w:tc>
        <w:tc>
          <w:tcPr>
            <w:tcW w:w="8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114,9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115,5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114,5 </w:t>
            </w:r>
          </w:p>
        </w:tc>
        <w:tc>
          <w:tcPr>
            <w:tcW w:w="8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115,5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115,5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115,4 </w:t>
            </w:r>
          </w:p>
        </w:tc>
        <w:tc>
          <w:tcPr>
            <w:tcW w:w="102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115,3 </w:t>
            </w:r>
          </w:p>
        </w:tc>
        <w:tc>
          <w:tcPr>
            <w:tcW w:w="7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0,5 </w:t>
            </w:r>
          </w:p>
        </w:tc>
        <w:tc>
          <w:tcPr>
            <w:tcW w:w="108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0,4 </w:t>
            </w:r>
          </w:p>
        </w:tc>
        <w:tc>
          <w:tcPr>
            <w:tcW w:w="180" w:type="dxa"/>
            <w:gridSpan w:val="2"/>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1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15</w:t>
            </w:r>
          </w:p>
        </w:tc>
        <w:tc>
          <w:tcPr>
            <w:tcW w:w="8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117,1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118,6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117,9 </w:t>
            </w:r>
          </w:p>
        </w:tc>
        <w:tc>
          <w:tcPr>
            <w:tcW w:w="85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116,4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117,7 </w:t>
            </w:r>
          </w:p>
        </w:tc>
        <w:tc>
          <w:tcPr>
            <w:tcW w:w="84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118,4 </w:t>
            </w:r>
          </w:p>
        </w:tc>
        <w:tc>
          <w:tcPr>
            <w:tcW w:w="102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117,7 </w:t>
            </w:r>
          </w:p>
        </w:tc>
        <w:tc>
          <w:tcPr>
            <w:tcW w:w="7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0,8 </w:t>
            </w:r>
          </w:p>
        </w:tc>
        <w:tc>
          <w:tcPr>
            <w:tcW w:w="108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0,7 </w:t>
            </w:r>
          </w:p>
        </w:tc>
        <w:tc>
          <w:tcPr>
            <w:tcW w:w="180" w:type="dxa"/>
            <w:gridSpan w:val="2"/>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155"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16</w:t>
            </w:r>
          </w:p>
        </w:tc>
        <w:tc>
          <w:tcPr>
            <w:tcW w:w="855"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113,9 </w:t>
            </w:r>
          </w:p>
        </w:tc>
        <w:tc>
          <w:tcPr>
            <w:tcW w:w="840"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112,5 </w:t>
            </w:r>
          </w:p>
        </w:tc>
        <w:tc>
          <w:tcPr>
            <w:tcW w:w="840"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111,0 </w:t>
            </w:r>
          </w:p>
        </w:tc>
        <w:tc>
          <w:tcPr>
            <w:tcW w:w="855"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111,1 </w:t>
            </w:r>
          </w:p>
        </w:tc>
        <w:tc>
          <w:tcPr>
            <w:tcW w:w="840"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110,8 </w:t>
            </w:r>
          </w:p>
        </w:tc>
        <w:tc>
          <w:tcPr>
            <w:tcW w:w="840"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112,4 </w:t>
            </w:r>
          </w:p>
        </w:tc>
        <w:tc>
          <w:tcPr>
            <w:tcW w:w="1020"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112,0 </w:t>
            </w:r>
          </w:p>
        </w:tc>
        <w:tc>
          <w:tcPr>
            <w:tcW w:w="795"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 </w:t>
            </w:r>
          </w:p>
        </w:tc>
        <w:tc>
          <w:tcPr>
            <w:tcW w:w="180" w:type="dxa"/>
            <w:gridSpan w:val="2"/>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r>
    </w:tbl>
    <w:p w:rsidR="00000000" w:rsidRDefault="005829C2">
      <w:pPr>
        <w:pStyle w:val="a3"/>
      </w:pPr>
    </w:p>
    <w:p w:rsidR="00000000" w:rsidRDefault="005829C2">
      <w:pPr>
        <w:pStyle w:val="FORMATTEXT"/>
        <w:ind w:firstLine="568"/>
        <w:jc w:val="both"/>
      </w:pPr>
      <w:r>
        <w:t>Результаты, приведенные в таблице В.8, получены при использовании однофакторного ANOVA.</w:t>
      </w:r>
    </w:p>
    <w:p w:rsidR="00000000" w:rsidRDefault="005829C2">
      <w:pPr>
        <w:pStyle w:val="FORMATTEXT"/>
        <w:ind w:firstLine="568"/>
        <w:jc w:val="both"/>
      </w:pPr>
    </w:p>
    <w:p w:rsidR="00000000" w:rsidRDefault="005829C2">
      <w:pPr>
        <w:pStyle w:val="FORMATTEXT"/>
        <w:jc w:val="both"/>
      </w:pPr>
      <w:r>
        <w:t>Таблица B.8 - Резу</w:t>
      </w:r>
      <w:r>
        <w:t>льтаты однофакторного ANOVA на основе данных таблицы В.7</w:t>
      </w:r>
    </w:p>
    <w:tbl>
      <w:tblPr>
        <w:tblW w:w="0" w:type="auto"/>
        <w:tblInd w:w="28" w:type="dxa"/>
        <w:tblLayout w:type="fixed"/>
        <w:tblCellMar>
          <w:left w:w="90" w:type="dxa"/>
          <w:right w:w="90" w:type="dxa"/>
        </w:tblCellMar>
        <w:tblLook w:val="0000" w:firstRow="0" w:lastRow="0" w:firstColumn="0" w:lastColumn="0" w:noHBand="0" w:noVBand="0"/>
      </w:tblPr>
      <w:tblGrid>
        <w:gridCol w:w="3345"/>
        <w:gridCol w:w="1815"/>
        <w:gridCol w:w="2430"/>
        <w:gridCol w:w="1440"/>
      </w:tblGrid>
      <w:tr w:rsidR="00000000">
        <w:tblPrEx>
          <w:tblCellMar>
            <w:top w:w="0" w:type="dxa"/>
            <w:bottom w:w="0" w:type="dxa"/>
          </w:tblCellMar>
        </w:tblPrEx>
        <w:tc>
          <w:tcPr>
            <w:tcW w:w="334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181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2430"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1440"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334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Источник расхождений</w:t>
            </w:r>
          </w:p>
        </w:tc>
        <w:tc>
          <w:tcPr>
            <w:tcW w:w="181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i/>
                <w:iCs/>
                <w:sz w:val="18"/>
                <w:szCs w:val="18"/>
              </w:rPr>
              <w:t>SS</w:t>
            </w:r>
            <w:r>
              <w:rPr>
                <w:sz w:val="18"/>
                <w:szCs w:val="18"/>
              </w:rPr>
              <w:t xml:space="preserve"> </w:t>
            </w:r>
          </w:p>
        </w:tc>
        <w:tc>
          <w:tcPr>
            <w:tcW w:w="243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Степени свободы </w:t>
            </w:r>
          </w:p>
        </w:tc>
        <w:tc>
          <w:tcPr>
            <w:tcW w:w="144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i/>
                <w:iCs/>
                <w:sz w:val="18"/>
                <w:szCs w:val="18"/>
              </w:rPr>
              <w:t>MS</w:t>
            </w:r>
            <w:r>
              <w:rPr>
                <w:sz w:val="18"/>
                <w:szCs w:val="18"/>
              </w:rPr>
              <w:t xml:space="preserve"> </w:t>
            </w:r>
          </w:p>
        </w:tc>
      </w:tr>
      <w:tr w:rsidR="00000000">
        <w:tblPrEx>
          <w:tblCellMar>
            <w:top w:w="0" w:type="dxa"/>
            <w:bottom w:w="0" w:type="dxa"/>
          </w:tblCellMar>
        </w:tblPrEx>
        <w:tc>
          <w:tcPr>
            <w:tcW w:w="334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rPr>
                <w:sz w:val="18"/>
                <w:szCs w:val="18"/>
              </w:rPr>
            </w:pPr>
            <w:r>
              <w:rPr>
                <w:sz w:val="18"/>
                <w:szCs w:val="18"/>
              </w:rPr>
              <w:t>Между группами</w:t>
            </w:r>
          </w:p>
        </w:tc>
        <w:tc>
          <w:tcPr>
            <w:tcW w:w="181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388,64 </w:t>
            </w:r>
          </w:p>
        </w:tc>
        <w:tc>
          <w:tcPr>
            <w:tcW w:w="243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 </w:t>
            </w:r>
          </w:p>
        </w:tc>
        <w:tc>
          <w:tcPr>
            <w:tcW w:w="144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35,33 </w:t>
            </w:r>
          </w:p>
        </w:tc>
      </w:tr>
      <w:tr w:rsidR="00000000">
        <w:tblPrEx>
          <w:tblCellMar>
            <w:top w:w="0" w:type="dxa"/>
            <w:bottom w:w="0" w:type="dxa"/>
          </w:tblCellMar>
        </w:tblPrEx>
        <w:tc>
          <w:tcPr>
            <w:tcW w:w="334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rPr>
                <w:sz w:val="18"/>
                <w:szCs w:val="18"/>
              </w:rPr>
            </w:pPr>
            <w:r>
              <w:rPr>
                <w:sz w:val="18"/>
                <w:szCs w:val="18"/>
              </w:rPr>
              <w:t>Внутри групп</w:t>
            </w:r>
          </w:p>
        </w:tc>
        <w:tc>
          <w:tcPr>
            <w:tcW w:w="181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76,45 </w:t>
            </w:r>
          </w:p>
        </w:tc>
        <w:tc>
          <w:tcPr>
            <w:tcW w:w="243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60 </w:t>
            </w:r>
          </w:p>
        </w:tc>
        <w:tc>
          <w:tcPr>
            <w:tcW w:w="144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1,27 </w:t>
            </w:r>
          </w:p>
        </w:tc>
      </w:tr>
      <w:tr w:rsidR="00000000">
        <w:tblPrEx>
          <w:tblCellMar>
            <w:top w:w="0" w:type="dxa"/>
            <w:bottom w:w="0" w:type="dxa"/>
          </w:tblCellMar>
        </w:tblPrEx>
        <w:tc>
          <w:tcPr>
            <w:tcW w:w="3345" w:type="dxa"/>
            <w:tcBorders>
              <w:top w:val="nil"/>
              <w:left w:val="single" w:sz="6" w:space="0" w:color="auto"/>
              <w:bottom w:val="single" w:sz="6" w:space="0" w:color="auto"/>
              <w:right w:val="nil"/>
            </w:tcBorders>
            <w:tcMar>
              <w:top w:w="114" w:type="dxa"/>
              <w:left w:w="28" w:type="dxa"/>
              <w:bottom w:w="114" w:type="dxa"/>
              <w:right w:w="28" w:type="dxa"/>
            </w:tcMar>
          </w:tcPr>
          <w:p w:rsidR="00000000" w:rsidRDefault="005829C2">
            <w:pPr>
              <w:pStyle w:val="a3"/>
              <w:rPr>
                <w:sz w:val="18"/>
                <w:szCs w:val="18"/>
              </w:rPr>
            </w:pPr>
            <w:r>
              <w:rPr>
                <w:sz w:val="18"/>
                <w:szCs w:val="18"/>
              </w:rPr>
              <w:t>Общий</w:t>
            </w:r>
          </w:p>
        </w:tc>
        <w:tc>
          <w:tcPr>
            <w:tcW w:w="1815" w:type="dxa"/>
            <w:tcBorders>
              <w:top w:val="nil"/>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465,09 </w:t>
            </w:r>
          </w:p>
        </w:tc>
        <w:tc>
          <w:tcPr>
            <w:tcW w:w="2430" w:type="dxa"/>
            <w:tcBorders>
              <w:top w:val="nil"/>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71 </w:t>
            </w:r>
          </w:p>
        </w:tc>
        <w:tc>
          <w:tcPr>
            <w:tcW w:w="144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5829C2">
            <w:pPr>
              <w:pStyle w:val="a3"/>
              <w:rPr>
                <w:sz w:val="18"/>
                <w:szCs w:val="18"/>
              </w:rPr>
            </w:pPr>
            <w:r>
              <w:rPr>
                <w:sz w:val="18"/>
                <w:szCs w:val="18"/>
              </w:rPr>
              <w:t xml:space="preserve">  </w:t>
            </w:r>
          </w:p>
        </w:tc>
      </w:tr>
    </w:tbl>
    <w:p w:rsidR="00000000" w:rsidRDefault="005829C2">
      <w:pPr>
        <w:pStyle w:val="a3"/>
      </w:pPr>
    </w:p>
    <w:p w:rsidR="00000000" w:rsidRDefault="005829C2">
      <w:pPr>
        <w:pStyle w:val="FORMATTEXT"/>
        <w:ind w:firstLine="568"/>
        <w:jc w:val="both"/>
      </w:pPr>
      <w:r>
        <w:t>Среднее по совокупности рассчитывается по формуле:</w:t>
      </w:r>
    </w:p>
    <w:p w:rsidR="00000000" w:rsidRDefault="005829C2">
      <w:pPr>
        <w:pStyle w:val="FORMATTEXT"/>
        <w:ind w:firstLine="568"/>
        <w:jc w:val="both"/>
      </w:pPr>
    </w:p>
    <w:p w:rsidR="00000000" w:rsidRDefault="00862BD0">
      <w:pPr>
        <w:pStyle w:val="FORMATTEXT"/>
        <w:jc w:val="center"/>
      </w:pPr>
      <w:r>
        <w:rPr>
          <w:noProof/>
          <w:position w:val="-26"/>
        </w:rPr>
        <w:drawing>
          <wp:inline distT="0" distB="0" distL="0" distR="0">
            <wp:extent cx="3114675" cy="657225"/>
            <wp:effectExtent l="0" t="0" r="9525" b="9525"/>
            <wp:docPr id="291" name="Рисунок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114675" cy="657225"/>
                    </a:xfrm>
                    <a:prstGeom prst="rect">
                      <a:avLst/>
                    </a:prstGeom>
                    <a:noFill/>
                    <a:ln>
                      <a:noFill/>
                    </a:ln>
                  </pic:spPr>
                </pic:pic>
              </a:graphicData>
            </a:graphic>
          </wp:inline>
        </w:drawing>
      </w:r>
      <w:r w:rsidR="005829C2">
        <w:t>IU/L.</w:t>
      </w:r>
    </w:p>
    <w:p w:rsidR="00000000" w:rsidRDefault="005829C2">
      <w:pPr>
        <w:pStyle w:val="FORMATTEXT"/>
        <w:ind w:firstLine="568"/>
        <w:jc w:val="both"/>
      </w:pPr>
      <w:r>
        <w:t xml:space="preserve">Так как набор данных полный (каждая из групп содержит </w:t>
      </w:r>
      <w:r>
        <w:rPr>
          <w:i/>
          <w:iCs/>
        </w:rPr>
        <w:t>n</w:t>
      </w:r>
      <w:r>
        <w:t xml:space="preserve">=6 результатов), среднее по совокупности можно также </w:t>
      </w:r>
      <w:proofErr w:type="gramStart"/>
      <w:r>
        <w:t>рассчитать</w:t>
      </w:r>
      <w:proofErr w:type="gramEnd"/>
      <w:r>
        <w:t xml:space="preserve"> как среднее средних:</w:t>
      </w:r>
    </w:p>
    <w:p w:rsidR="00000000" w:rsidRDefault="005829C2">
      <w:pPr>
        <w:pStyle w:val="FORMATTEXT"/>
        <w:ind w:firstLine="568"/>
        <w:jc w:val="both"/>
      </w:pPr>
    </w:p>
    <w:p w:rsidR="00000000" w:rsidRDefault="00862BD0">
      <w:pPr>
        <w:pStyle w:val="FORMATTEXT"/>
        <w:jc w:val="center"/>
      </w:pPr>
      <w:r>
        <w:rPr>
          <w:noProof/>
          <w:position w:val="-18"/>
        </w:rPr>
        <w:drawing>
          <wp:inline distT="0" distB="0" distL="0" distR="0">
            <wp:extent cx="2028825" cy="447675"/>
            <wp:effectExtent l="0" t="0" r="9525" b="9525"/>
            <wp:docPr id="292" name="Рисунок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2028825" cy="447675"/>
                    </a:xfrm>
                    <a:prstGeom prst="rect">
                      <a:avLst/>
                    </a:prstGeom>
                    <a:noFill/>
                    <a:ln>
                      <a:noFill/>
                    </a:ln>
                  </pic:spPr>
                </pic:pic>
              </a:graphicData>
            </a:graphic>
          </wp:inline>
        </w:drawing>
      </w:r>
      <w:r w:rsidR="005829C2">
        <w:t xml:space="preserve">IU/L. </w:t>
      </w:r>
    </w:p>
    <w:p w:rsidR="00000000" w:rsidRDefault="005829C2">
      <w:pPr>
        <w:pStyle w:val="FORMATTEXT"/>
        <w:ind w:firstLine="568"/>
        <w:jc w:val="both"/>
      </w:pPr>
      <w:r>
        <w:t>Неопределенность, связанная с со</w:t>
      </w:r>
      <w:r>
        <w:t xml:space="preserve">вокупным средним, равна: </w:t>
      </w:r>
    </w:p>
    <w:p w:rsidR="00000000" w:rsidRDefault="005829C2">
      <w:pPr>
        <w:pStyle w:val="FORMATTEXT"/>
        <w:jc w:val="center"/>
      </w:pPr>
    </w:p>
    <w:p w:rsidR="00000000" w:rsidRDefault="00862BD0">
      <w:pPr>
        <w:pStyle w:val="FORMATTEXT"/>
        <w:jc w:val="center"/>
      </w:pPr>
      <w:r>
        <w:rPr>
          <w:noProof/>
          <w:position w:val="-20"/>
        </w:rPr>
        <w:lastRenderedPageBreak/>
        <w:drawing>
          <wp:inline distT="0" distB="0" distL="0" distR="0">
            <wp:extent cx="2962275" cy="504825"/>
            <wp:effectExtent l="0" t="0" r="9525" b="9525"/>
            <wp:docPr id="293" name="Рисунок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2962275" cy="504825"/>
                    </a:xfrm>
                    <a:prstGeom prst="rect">
                      <a:avLst/>
                    </a:prstGeom>
                    <a:noFill/>
                    <a:ln>
                      <a:noFill/>
                    </a:ln>
                  </pic:spPr>
                </pic:pic>
              </a:graphicData>
            </a:graphic>
          </wp:inline>
        </w:drawing>
      </w:r>
      <w:r w:rsidR="005829C2">
        <w:t>IU/L</w:t>
      </w:r>
    </w:p>
    <w:p w:rsidR="00000000" w:rsidRDefault="005829C2">
      <w:pPr>
        <w:pStyle w:val="FORMATTEXT"/>
        <w:jc w:val="both"/>
      </w:pPr>
      <w:r>
        <w:t>при условии, что</w:t>
      </w:r>
    </w:p>
    <w:p w:rsidR="00000000" w:rsidRDefault="005829C2">
      <w:pPr>
        <w:pStyle w:val="FORMATTEXT"/>
        <w:jc w:val="center"/>
      </w:pPr>
      <w:r>
        <w:t xml:space="preserve">  </w:t>
      </w:r>
    </w:p>
    <w:p w:rsidR="00000000" w:rsidRDefault="00862BD0">
      <w:pPr>
        <w:pStyle w:val="TOPLEVELTEXT"/>
        <w:jc w:val="center"/>
      </w:pPr>
      <w:r>
        <w:rPr>
          <w:noProof/>
          <w:position w:val="-10"/>
        </w:rPr>
        <w:drawing>
          <wp:inline distT="0" distB="0" distL="0" distR="0">
            <wp:extent cx="1257300" cy="266700"/>
            <wp:effectExtent l="0" t="0" r="0" b="0"/>
            <wp:docPr id="294" name="Рисунок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1257300" cy="266700"/>
                    </a:xfrm>
                    <a:prstGeom prst="rect">
                      <a:avLst/>
                    </a:prstGeom>
                    <a:noFill/>
                    <a:ln>
                      <a:noFill/>
                    </a:ln>
                  </pic:spPr>
                </pic:pic>
              </a:graphicData>
            </a:graphic>
          </wp:inline>
        </w:drawing>
      </w:r>
    </w:p>
    <w:p w:rsidR="00000000" w:rsidRDefault="005829C2">
      <w:pPr>
        <w:pStyle w:val="FORMATTEXT"/>
        <w:jc w:val="both"/>
      </w:pPr>
      <w:r>
        <w:t>и</w:t>
      </w:r>
    </w:p>
    <w:p w:rsidR="00000000" w:rsidRDefault="00862BD0">
      <w:pPr>
        <w:pStyle w:val="FORMATTEXT"/>
        <w:jc w:val="center"/>
      </w:pPr>
      <w:r>
        <w:rPr>
          <w:noProof/>
          <w:position w:val="-19"/>
        </w:rPr>
        <w:drawing>
          <wp:inline distT="0" distB="0" distL="0" distR="0">
            <wp:extent cx="2847975" cy="457200"/>
            <wp:effectExtent l="0" t="0" r="9525" b="0"/>
            <wp:docPr id="295" name="Рисунок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2847975" cy="457200"/>
                    </a:xfrm>
                    <a:prstGeom prst="rect">
                      <a:avLst/>
                    </a:prstGeom>
                    <a:noFill/>
                    <a:ln>
                      <a:noFill/>
                    </a:ln>
                  </pic:spPr>
                </pic:pic>
              </a:graphicData>
            </a:graphic>
          </wp:inline>
        </w:drawing>
      </w:r>
      <w:r w:rsidR="005829C2">
        <w:t xml:space="preserve">. </w:t>
      </w:r>
    </w:p>
    <w:p w:rsidR="00000000" w:rsidRDefault="005829C2">
      <w:pPr>
        <w:pStyle w:val="FORMATTEXT"/>
        <w:ind w:firstLine="568"/>
        <w:jc w:val="both"/>
      </w:pPr>
      <w:r>
        <w:rPr>
          <w:b/>
          <w:bCs/>
        </w:rPr>
        <w:t>В.7 </w:t>
      </w:r>
      <w:proofErr w:type="spellStart"/>
      <w:r>
        <w:rPr>
          <w:b/>
          <w:bCs/>
        </w:rPr>
        <w:t>Характеризация</w:t>
      </w:r>
      <w:proofErr w:type="spellEnd"/>
      <w:r>
        <w:rPr>
          <w:b/>
          <w:bCs/>
        </w:rPr>
        <w:t xml:space="preserve"> с использованием взвешенного среднего</w:t>
      </w:r>
    </w:p>
    <w:p w:rsidR="00000000" w:rsidRDefault="005829C2">
      <w:pPr>
        <w:pStyle w:val="FORMATTEXT"/>
        <w:ind w:firstLine="568"/>
        <w:jc w:val="both"/>
      </w:pPr>
    </w:p>
    <w:p w:rsidR="00000000" w:rsidRDefault="005829C2">
      <w:pPr>
        <w:pStyle w:val="FORMATTEXT"/>
        <w:ind w:firstLine="568"/>
        <w:jc w:val="both"/>
      </w:pPr>
      <w:r>
        <w:t xml:space="preserve">Лабораториям, участвующим в </w:t>
      </w:r>
      <w:proofErr w:type="spellStart"/>
      <w:r>
        <w:t>характеризации</w:t>
      </w:r>
      <w:proofErr w:type="spellEnd"/>
      <w:r>
        <w:t xml:space="preserve"> ССО (АСО), было дано задание оценить неопределенность измерений, связанную с их результатами. </w:t>
      </w:r>
      <w:proofErr w:type="spellStart"/>
      <w:r>
        <w:t>Прослеживаемость</w:t>
      </w:r>
      <w:proofErr w:type="spellEnd"/>
      <w:r>
        <w:t xml:space="preserve"> резуль</w:t>
      </w:r>
      <w:r>
        <w:t xml:space="preserve">татов была подтверждена с помощью (1) раствора, содержащего известное количество хрома и (2) контрольного образца, достаточно охарактеризованного для проверки, например, проведения предварительной обработки образца. Используя эти средства, изготовитель СО </w:t>
      </w:r>
      <w:r>
        <w:t xml:space="preserve">на первом этапе определил, продемонстрировали ли участвующие лаборатории достаточный контроль над своими методами. Результаты </w:t>
      </w:r>
      <w:proofErr w:type="spellStart"/>
      <w:r>
        <w:t>характеризации</w:t>
      </w:r>
      <w:proofErr w:type="spellEnd"/>
      <w:r>
        <w:t xml:space="preserve"> приведены в таблице В.9. Результаты указаны во второй колонке </w:t>
      </w:r>
      <w:r>
        <w:rPr>
          <w:i/>
          <w:iCs/>
        </w:rPr>
        <w:t>х</w:t>
      </w:r>
      <w:r w:rsidR="00862BD0">
        <w:rPr>
          <w:noProof/>
          <w:position w:val="-10"/>
        </w:rPr>
        <w:drawing>
          <wp:inline distT="0" distB="0" distL="0" distR="0">
            <wp:extent cx="85725" cy="228600"/>
            <wp:effectExtent l="0" t="0" r="9525" b="0"/>
            <wp:docPr id="296" name="Рисунок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rPr>
          <w:i/>
          <w:iCs/>
        </w:rPr>
        <w:t>,</w:t>
      </w:r>
      <w:r>
        <w:t xml:space="preserve"> а связанная с н</w:t>
      </w:r>
      <w:r>
        <w:t xml:space="preserve">ими стандартная неопределенность </w:t>
      </w:r>
      <w:r>
        <w:rPr>
          <w:i/>
          <w:iCs/>
        </w:rPr>
        <w:t>u</w:t>
      </w:r>
      <w:r w:rsidR="00862BD0">
        <w:rPr>
          <w:noProof/>
          <w:position w:val="-10"/>
        </w:rPr>
        <w:drawing>
          <wp:inline distT="0" distB="0" distL="0" distR="0">
            <wp:extent cx="85725" cy="228600"/>
            <wp:effectExtent l="0" t="0" r="9525" b="0"/>
            <wp:docPr id="297" name="Рисунок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t xml:space="preserve"> - в третьей колонке таблицы В.9. По результатам оценки данных с использованием контрольных образцов было сделано (и подтверждено) допущение о достоверности заявленных неопределенностей. </w:t>
      </w:r>
      <w:r>
        <w:t>В случае недостоверности заявленных неопределенностей задание веса данным на основе описанного здесь подхода, как правило, не должно проводиться.</w:t>
      </w:r>
    </w:p>
    <w:p w:rsidR="00000000" w:rsidRDefault="005829C2">
      <w:pPr>
        <w:pStyle w:val="FORMATTEXT"/>
        <w:ind w:firstLine="568"/>
        <w:jc w:val="both"/>
      </w:pPr>
    </w:p>
    <w:p w:rsidR="00000000" w:rsidRDefault="005829C2">
      <w:pPr>
        <w:pStyle w:val="FORMATTEXT"/>
        <w:jc w:val="both"/>
      </w:pPr>
      <w:r>
        <w:t xml:space="preserve">Таблица В.9 - Данные по </w:t>
      </w:r>
      <w:proofErr w:type="spellStart"/>
      <w:r>
        <w:t>характеризации</w:t>
      </w:r>
      <w:proofErr w:type="spellEnd"/>
      <w:r>
        <w:t>, содержание хрома в почве</w:t>
      </w:r>
    </w:p>
    <w:p w:rsidR="00000000" w:rsidRDefault="005829C2">
      <w:pPr>
        <w:pStyle w:val="FORMATTEXT"/>
        <w:jc w:val="right"/>
      </w:pPr>
      <w:r>
        <w:t>Размеры в миллиграммах на килограмм (сухой м</w:t>
      </w:r>
      <w:r>
        <w:t>етод)</w:t>
      </w:r>
    </w:p>
    <w:tbl>
      <w:tblPr>
        <w:tblW w:w="0" w:type="auto"/>
        <w:tblInd w:w="28" w:type="dxa"/>
        <w:tblLayout w:type="fixed"/>
        <w:tblCellMar>
          <w:left w:w="90" w:type="dxa"/>
          <w:right w:w="90" w:type="dxa"/>
        </w:tblCellMar>
        <w:tblLook w:val="0000" w:firstRow="0" w:lastRow="0" w:firstColumn="0" w:lastColumn="0" w:noHBand="0" w:noVBand="0"/>
      </w:tblPr>
      <w:tblGrid>
        <w:gridCol w:w="1350"/>
        <w:gridCol w:w="1290"/>
        <w:gridCol w:w="1275"/>
        <w:gridCol w:w="2235"/>
        <w:gridCol w:w="2970"/>
      </w:tblGrid>
      <w:tr w:rsidR="00000000">
        <w:tblPrEx>
          <w:tblCellMar>
            <w:top w:w="0" w:type="dxa"/>
            <w:bottom w:w="0" w:type="dxa"/>
          </w:tblCellMar>
        </w:tblPrEx>
        <w:tc>
          <w:tcPr>
            <w:tcW w:w="1350"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1290"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127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223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2970"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35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Лаборатория </w:t>
            </w:r>
          </w:p>
        </w:tc>
        <w:tc>
          <w:tcPr>
            <w:tcW w:w="129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i/>
                <w:iCs/>
                <w:sz w:val="18"/>
                <w:szCs w:val="18"/>
              </w:rPr>
              <w:t>x</w:t>
            </w:r>
            <w:r w:rsidR="00862BD0">
              <w:rPr>
                <w:noProof/>
                <w:position w:val="-10"/>
                <w:sz w:val="18"/>
                <w:szCs w:val="18"/>
              </w:rPr>
              <w:drawing>
                <wp:inline distT="0" distB="0" distL="0" distR="0">
                  <wp:extent cx="85725" cy="228600"/>
                  <wp:effectExtent l="0" t="0" r="9525" b="0"/>
                  <wp:docPr id="298" name="Рисунок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rPr>
                <w:sz w:val="18"/>
                <w:szCs w:val="18"/>
              </w:rPr>
              <w:t xml:space="preserve"> </w:t>
            </w:r>
          </w:p>
        </w:tc>
        <w:tc>
          <w:tcPr>
            <w:tcW w:w="12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i/>
                <w:iCs/>
                <w:sz w:val="18"/>
                <w:szCs w:val="18"/>
              </w:rPr>
              <w:t>u</w:t>
            </w:r>
            <w:r w:rsidR="00862BD0">
              <w:rPr>
                <w:noProof/>
                <w:position w:val="-10"/>
                <w:sz w:val="18"/>
                <w:szCs w:val="18"/>
              </w:rPr>
              <w:drawing>
                <wp:inline distT="0" distB="0" distL="0" distR="0">
                  <wp:extent cx="85725" cy="228600"/>
                  <wp:effectExtent l="0" t="0" r="9525" b="0"/>
                  <wp:docPr id="299" name="Рисунок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rPr>
                <w:sz w:val="18"/>
                <w:szCs w:val="18"/>
              </w:rPr>
              <w:t xml:space="preserve"> </w:t>
            </w:r>
          </w:p>
        </w:tc>
        <w:tc>
          <w:tcPr>
            <w:tcW w:w="223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Взвешенные значения, </w:t>
            </w:r>
            <w:r>
              <w:rPr>
                <w:i/>
                <w:iCs/>
                <w:sz w:val="18"/>
                <w:szCs w:val="18"/>
              </w:rPr>
              <w:t>w</w:t>
            </w:r>
            <w:r w:rsidR="00862BD0">
              <w:rPr>
                <w:noProof/>
                <w:position w:val="-11"/>
                <w:sz w:val="18"/>
                <w:szCs w:val="18"/>
              </w:rPr>
              <w:drawing>
                <wp:inline distT="0" distB="0" distL="0" distR="0">
                  <wp:extent cx="85725" cy="266700"/>
                  <wp:effectExtent l="0" t="0" r="9525" b="0"/>
                  <wp:docPr id="300" name="Рисунок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85725" cy="266700"/>
                          </a:xfrm>
                          <a:prstGeom prst="rect">
                            <a:avLst/>
                          </a:prstGeom>
                          <a:noFill/>
                          <a:ln>
                            <a:noFill/>
                          </a:ln>
                        </pic:spPr>
                      </pic:pic>
                    </a:graphicData>
                  </a:graphic>
                </wp:inline>
              </w:drawing>
            </w:r>
            <w:r>
              <w:rPr>
                <w:sz w:val="18"/>
                <w:szCs w:val="18"/>
              </w:rPr>
              <w:t xml:space="preserve"> </w:t>
            </w:r>
          </w:p>
        </w:tc>
        <w:tc>
          <w:tcPr>
            <w:tcW w:w="29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Окончательные взвешенные значения, </w:t>
            </w:r>
            <w:r>
              <w:rPr>
                <w:i/>
                <w:iCs/>
                <w:sz w:val="18"/>
                <w:szCs w:val="18"/>
              </w:rPr>
              <w:t>w</w:t>
            </w:r>
            <w:r w:rsidR="00862BD0">
              <w:rPr>
                <w:noProof/>
                <w:position w:val="-10"/>
                <w:sz w:val="18"/>
                <w:szCs w:val="18"/>
              </w:rPr>
              <w:drawing>
                <wp:inline distT="0" distB="0" distL="0" distR="0">
                  <wp:extent cx="85725" cy="228600"/>
                  <wp:effectExtent l="0" t="0" r="9525" b="0"/>
                  <wp:docPr id="301" name="Рисунок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p>
        </w:tc>
      </w:tr>
      <w:tr w:rsidR="00000000">
        <w:tblPrEx>
          <w:tblCellMar>
            <w:top w:w="0" w:type="dxa"/>
            <w:bottom w:w="0" w:type="dxa"/>
          </w:tblCellMar>
        </w:tblPrEx>
        <w:tc>
          <w:tcPr>
            <w:tcW w:w="135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w:t>
            </w:r>
          </w:p>
        </w:tc>
        <w:tc>
          <w:tcPr>
            <w:tcW w:w="129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135 </w:t>
            </w:r>
          </w:p>
        </w:tc>
        <w:tc>
          <w:tcPr>
            <w:tcW w:w="127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 </w:t>
            </w:r>
          </w:p>
        </w:tc>
        <w:tc>
          <w:tcPr>
            <w:tcW w:w="223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0,00694 </w:t>
            </w:r>
          </w:p>
        </w:tc>
        <w:tc>
          <w:tcPr>
            <w:tcW w:w="29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0,0375 </w:t>
            </w:r>
          </w:p>
        </w:tc>
      </w:tr>
      <w:tr w:rsidR="00000000">
        <w:tblPrEx>
          <w:tblCellMar>
            <w:top w:w="0" w:type="dxa"/>
            <w:bottom w:w="0" w:type="dxa"/>
          </w:tblCellMar>
        </w:tblPrEx>
        <w:tc>
          <w:tcPr>
            <w:tcW w:w="135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2</w:t>
            </w:r>
          </w:p>
        </w:tc>
        <w:tc>
          <w:tcPr>
            <w:tcW w:w="129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122 </w:t>
            </w:r>
          </w:p>
        </w:tc>
        <w:tc>
          <w:tcPr>
            <w:tcW w:w="127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8 </w:t>
            </w:r>
          </w:p>
        </w:tc>
        <w:tc>
          <w:tcPr>
            <w:tcW w:w="223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0,01563 </w:t>
            </w:r>
          </w:p>
        </w:tc>
        <w:tc>
          <w:tcPr>
            <w:tcW w:w="297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0,0845 </w:t>
            </w:r>
          </w:p>
        </w:tc>
      </w:tr>
      <w:tr w:rsidR="00000000">
        <w:tblPrEx>
          <w:tblCellMar>
            <w:top w:w="0" w:type="dxa"/>
            <w:bottom w:w="0" w:type="dxa"/>
          </w:tblCellMar>
        </w:tblPrEx>
        <w:tc>
          <w:tcPr>
            <w:tcW w:w="135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3</w:t>
            </w:r>
          </w:p>
        </w:tc>
        <w:tc>
          <w:tcPr>
            <w:tcW w:w="129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123 </w:t>
            </w:r>
          </w:p>
        </w:tc>
        <w:tc>
          <w:tcPr>
            <w:tcW w:w="127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9 </w:t>
            </w:r>
          </w:p>
        </w:tc>
        <w:tc>
          <w:tcPr>
            <w:tcW w:w="223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0,01235 </w:t>
            </w:r>
          </w:p>
        </w:tc>
        <w:tc>
          <w:tcPr>
            <w:tcW w:w="297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0,0667 </w:t>
            </w:r>
          </w:p>
        </w:tc>
      </w:tr>
      <w:tr w:rsidR="00000000">
        <w:tblPrEx>
          <w:tblCellMar>
            <w:top w:w="0" w:type="dxa"/>
            <w:bottom w:w="0" w:type="dxa"/>
          </w:tblCellMar>
        </w:tblPrEx>
        <w:tc>
          <w:tcPr>
            <w:tcW w:w="135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4</w:t>
            </w:r>
          </w:p>
        </w:tc>
        <w:tc>
          <w:tcPr>
            <w:tcW w:w="129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117 </w:t>
            </w:r>
          </w:p>
        </w:tc>
        <w:tc>
          <w:tcPr>
            <w:tcW w:w="127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8 </w:t>
            </w:r>
          </w:p>
        </w:tc>
        <w:tc>
          <w:tcPr>
            <w:tcW w:w="223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0,01563 </w:t>
            </w:r>
          </w:p>
        </w:tc>
        <w:tc>
          <w:tcPr>
            <w:tcW w:w="297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0,0845 </w:t>
            </w:r>
          </w:p>
        </w:tc>
      </w:tr>
      <w:tr w:rsidR="00000000">
        <w:tblPrEx>
          <w:tblCellMar>
            <w:top w:w="0" w:type="dxa"/>
            <w:bottom w:w="0" w:type="dxa"/>
          </w:tblCellMar>
        </w:tblPrEx>
        <w:tc>
          <w:tcPr>
            <w:tcW w:w="135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5</w:t>
            </w:r>
          </w:p>
        </w:tc>
        <w:tc>
          <w:tcPr>
            <w:tcW w:w="129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102 </w:t>
            </w:r>
          </w:p>
        </w:tc>
        <w:tc>
          <w:tcPr>
            <w:tcW w:w="127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8 </w:t>
            </w:r>
          </w:p>
        </w:tc>
        <w:tc>
          <w:tcPr>
            <w:tcW w:w="223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0,01563 </w:t>
            </w:r>
          </w:p>
        </w:tc>
        <w:tc>
          <w:tcPr>
            <w:tcW w:w="297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0,0845 </w:t>
            </w:r>
          </w:p>
        </w:tc>
      </w:tr>
      <w:tr w:rsidR="00000000">
        <w:tblPrEx>
          <w:tblCellMar>
            <w:top w:w="0" w:type="dxa"/>
            <w:bottom w:w="0" w:type="dxa"/>
          </w:tblCellMar>
        </w:tblPrEx>
        <w:tc>
          <w:tcPr>
            <w:tcW w:w="135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6</w:t>
            </w:r>
          </w:p>
        </w:tc>
        <w:tc>
          <w:tcPr>
            <w:tcW w:w="129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120 </w:t>
            </w:r>
          </w:p>
        </w:tc>
        <w:tc>
          <w:tcPr>
            <w:tcW w:w="127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10 </w:t>
            </w:r>
          </w:p>
        </w:tc>
        <w:tc>
          <w:tcPr>
            <w:tcW w:w="223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0,01000 </w:t>
            </w:r>
          </w:p>
        </w:tc>
        <w:tc>
          <w:tcPr>
            <w:tcW w:w="297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0,0541 </w:t>
            </w:r>
          </w:p>
        </w:tc>
      </w:tr>
      <w:tr w:rsidR="00000000">
        <w:tblPrEx>
          <w:tblCellMar>
            <w:top w:w="0" w:type="dxa"/>
            <w:bottom w:w="0" w:type="dxa"/>
          </w:tblCellMar>
        </w:tblPrEx>
        <w:tc>
          <w:tcPr>
            <w:tcW w:w="135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7</w:t>
            </w:r>
          </w:p>
        </w:tc>
        <w:tc>
          <w:tcPr>
            <w:tcW w:w="129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121 </w:t>
            </w:r>
          </w:p>
        </w:tc>
        <w:tc>
          <w:tcPr>
            <w:tcW w:w="127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8 </w:t>
            </w:r>
          </w:p>
        </w:tc>
        <w:tc>
          <w:tcPr>
            <w:tcW w:w="223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0,01563 </w:t>
            </w:r>
          </w:p>
        </w:tc>
        <w:tc>
          <w:tcPr>
            <w:tcW w:w="297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0,0845 </w:t>
            </w:r>
          </w:p>
        </w:tc>
      </w:tr>
      <w:tr w:rsidR="00000000">
        <w:tblPrEx>
          <w:tblCellMar>
            <w:top w:w="0" w:type="dxa"/>
            <w:bottom w:w="0" w:type="dxa"/>
          </w:tblCellMar>
        </w:tblPrEx>
        <w:tc>
          <w:tcPr>
            <w:tcW w:w="135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8</w:t>
            </w:r>
          </w:p>
        </w:tc>
        <w:tc>
          <w:tcPr>
            <w:tcW w:w="129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124 </w:t>
            </w:r>
          </w:p>
        </w:tc>
        <w:tc>
          <w:tcPr>
            <w:tcW w:w="127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 </w:t>
            </w:r>
          </w:p>
        </w:tc>
        <w:tc>
          <w:tcPr>
            <w:tcW w:w="223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0,00694 </w:t>
            </w:r>
          </w:p>
        </w:tc>
        <w:tc>
          <w:tcPr>
            <w:tcW w:w="297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0,0375 </w:t>
            </w:r>
          </w:p>
        </w:tc>
      </w:tr>
      <w:tr w:rsidR="00000000">
        <w:tblPrEx>
          <w:tblCellMar>
            <w:top w:w="0" w:type="dxa"/>
            <w:bottom w:w="0" w:type="dxa"/>
          </w:tblCellMar>
        </w:tblPrEx>
        <w:tc>
          <w:tcPr>
            <w:tcW w:w="135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9</w:t>
            </w:r>
          </w:p>
        </w:tc>
        <w:tc>
          <w:tcPr>
            <w:tcW w:w="129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114 </w:t>
            </w:r>
          </w:p>
        </w:tc>
        <w:tc>
          <w:tcPr>
            <w:tcW w:w="127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8 </w:t>
            </w:r>
          </w:p>
        </w:tc>
        <w:tc>
          <w:tcPr>
            <w:tcW w:w="223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0,01563 </w:t>
            </w:r>
          </w:p>
        </w:tc>
        <w:tc>
          <w:tcPr>
            <w:tcW w:w="297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0,0845 </w:t>
            </w:r>
          </w:p>
        </w:tc>
      </w:tr>
      <w:tr w:rsidR="00000000">
        <w:tblPrEx>
          <w:tblCellMar>
            <w:top w:w="0" w:type="dxa"/>
            <w:bottom w:w="0" w:type="dxa"/>
          </w:tblCellMar>
        </w:tblPrEx>
        <w:tc>
          <w:tcPr>
            <w:tcW w:w="135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10</w:t>
            </w:r>
          </w:p>
        </w:tc>
        <w:tc>
          <w:tcPr>
            <w:tcW w:w="129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133 </w:t>
            </w:r>
          </w:p>
        </w:tc>
        <w:tc>
          <w:tcPr>
            <w:tcW w:w="127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8 </w:t>
            </w:r>
          </w:p>
        </w:tc>
        <w:tc>
          <w:tcPr>
            <w:tcW w:w="223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0,01563 </w:t>
            </w:r>
          </w:p>
        </w:tc>
        <w:tc>
          <w:tcPr>
            <w:tcW w:w="297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0,0845 </w:t>
            </w:r>
          </w:p>
        </w:tc>
      </w:tr>
      <w:tr w:rsidR="00000000">
        <w:tblPrEx>
          <w:tblCellMar>
            <w:top w:w="0" w:type="dxa"/>
            <w:bottom w:w="0" w:type="dxa"/>
          </w:tblCellMar>
        </w:tblPrEx>
        <w:tc>
          <w:tcPr>
            <w:tcW w:w="135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11</w:t>
            </w:r>
          </w:p>
        </w:tc>
        <w:tc>
          <w:tcPr>
            <w:tcW w:w="129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124 </w:t>
            </w:r>
          </w:p>
        </w:tc>
        <w:tc>
          <w:tcPr>
            <w:tcW w:w="127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 </w:t>
            </w:r>
          </w:p>
        </w:tc>
        <w:tc>
          <w:tcPr>
            <w:tcW w:w="223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0,00694 </w:t>
            </w:r>
          </w:p>
        </w:tc>
        <w:tc>
          <w:tcPr>
            <w:tcW w:w="297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0,0375 </w:t>
            </w:r>
          </w:p>
        </w:tc>
      </w:tr>
      <w:tr w:rsidR="00000000">
        <w:tblPrEx>
          <w:tblCellMar>
            <w:top w:w="0" w:type="dxa"/>
            <w:bottom w:w="0" w:type="dxa"/>
          </w:tblCellMar>
        </w:tblPrEx>
        <w:tc>
          <w:tcPr>
            <w:tcW w:w="135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12</w:t>
            </w:r>
          </w:p>
        </w:tc>
        <w:tc>
          <w:tcPr>
            <w:tcW w:w="129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131 </w:t>
            </w:r>
          </w:p>
        </w:tc>
        <w:tc>
          <w:tcPr>
            <w:tcW w:w="127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8 </w:t>
            </w:r>
          </w:p>
        </w:tc>
        <w:tc>
          <w:tcPr>
            <w:tcW w:w="223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0,01563 </w:t>
            </w:r>
          </w:p>
        </w:tc>
        <w:tc>
          <w:tcPr>
            <w:tcW w:w="297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0,0845 </w:t>
            </w:r>
          </w:p>
        </w:tc>
      </w:tr>
      <w:tr w:rsidR="00000000">
        <w:tblPrEx>
          <w:tblCellMar>
            <w:top w:w="0" w:type="dxa"/>
            <w:bottom w:w="0" w:type="dxa"/>
          </w:tblCellMar>
        </w:tblPrEx>
        <w:tc>
          <w:tcPr>
            <w:tcW w:w="135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13</w:t>
            </w:r>
          </w:p>
        </w:tc>
        <w:tc>
          <w:tcPr>
            <w:tcW w:w="129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131 </w:t>
            </w:r>
          </w:p>
        </w:tc>
        <w:tc>
          <w:tcPr>
            <w:tcW w:w="127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 </w:t>
            </w:r>
          </w:p>
        </w:tc>
        <w:tc>
          <w:tcPr>
            <w:tcW w:w="223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0,00826 </w:t>
            </w:r>
          </w:p>
        </w:tc>
        <w:tc>
          <w:tcPr>
            <w:tcW w:w="297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0,0447 </w:t>
            </w:r>
          </w:p>
        </w:tc>
      </w:tr>
      <w:tr w:rsidR="00000000">
        <w:tblPrEx>
          <w:tblCellMar>
            <w:top w:w="0" w:type="dxa"/>
            <w:bottom w:w="0" w:type="dxa"/>
          </w:tblCellMar>
        </w:tblPrEx>
        <w:tc>
          <w:tcPr>
            <w:tcW w:w="135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14</w:t>
            </w:r>
          </w:p>
        </w:tc>
        <w:tc>
          <w:tcPr>
            <w:tcW w:w="129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123 </w:t>
            </w:r>
          </w:p>
        </w:tc>
        <w:tc>
          <w:tcPr>
            <w:tcW w:w="127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13 </w:t>
            </w:r>
          </w:p>
        </w:tc>
        <w:tc>
          <w:tcPr>
            <w:tcW w:w="223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0,00592 </w:t>
            </w:r>
          </w:p>
        </w:tc>
        <w:tc>
          <w:tcPr>
            <w:tcW w:w="297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0,0320 </w:t>
            </w:r>
          </w:p>
        </w:tc>
      </w:tr>
      <w:tr w:rsidR="00000000">
        <w:tblPrEx>
          <w:tblCellMar>
            <w:top w:w="0" w:type="dxa"/>
            <w:bottom w:w="0" w:type="dxa"/>
          </w:tblCellMar>
        </w:tblPrEx>
        <w:tc>
          <w:tcPr>
            <w:tcW w:w="135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15</w:t>
            </w:r>
          </w:p>
        </w:tc>
        <w:tc>
          <w:tcPr>
            <w:tcW w:w="1290"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121 </w:t>
            </w:r>
          </w:p>
        </w:tc>
        <w:tc>
          <w:tcPr>
            <w:tcW w:w="127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11 </w:t>
            </w:r>
          </w:p>
        </w:tc>
        <w:tc>
          <w:tcPr>
            <w:tcW w:w="2235" w:type="dxa"/>
            <w:tcBorders>
              <w:top w:val="nil"/>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0,00826 </w:t>
            </w:r>
          </w:p>
        </w:tc>
        <w:tc>
          <w:tcPr>
            <w:tcW w:w="297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0,0447 </w:t>
            </w:r>
          </w:p>
        </w:tc>
      </w:tr>
      <w:tr w:rsidR="00000000">
        <w:tblPrEx>
          <w:tblCellMar>
            <w:top w:w="0" w:type="dxa"/>
            <w:bottom w:w="0" w:type="dxa"/>
          </w:tblCellMar>
        </w:tblPrEx>
        <w:tc>
          <w:tcPr>
            <w:tcW w:w="1350" w:type="dxa"/>
            <w:tcBorders>
              <w:top w:val="nil"/>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lastRenderedPageBreak/>
              <w:t>16</w:t>
            </w:r>
          </w:p>
        </w:tc>
        <w:tc>
          <w:tcPr>
            <w:tcW w:w="1290" w:type="dxa"/>
            <w:tcBorders>
              <w:top w:val="nil"/>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123 </w:t>
            </w:r>
          </w:p>
        </w:tc>
        <w:tc>
          <w:tcPr>
            <w:tcW w:w="1275" w:type="dxa"/>
            <w:tcBorders>
              <w:top w:val="nil"/>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10 </w:t>
            </w:r>
          </w:p>
        </w:tc>
        <w:tc>
          <w:tcPr>
            <w:tcW w:w="2235" w:type="dxa"/>
            <w:tcBorders>
              <w:top w:val="nil"/>
              <w:left w:val="single" w:sz="6" w:space="0" w:color="auto"/>
              <w:bottom w:val="single" w:sz="6" w:space="0" w:color="auto"/>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0,01000 </w:t>
            </w:r>
          </w:p>
        </w:tc>
        <w:tc>
          <w:tcPr>
            <w:tcW w:w="297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0,0541 </w:t>
            </w:r>
          </w:p>
        </w:tc>
      </w:tr>
    </w:tbl>
    <w:p w:rsidR="00000000" w:rsidRDefault="005829C2">
      <w:pPr>
        <w:pStyle w:val="a3"/>
      </w:pPr>
    </w:p>
    <w:p w:rsidR="00000000" w:rsidRDefault="005829C2">
      <w:pPr>
        <w:pStyle w:val="FORMATTEXT"/>
        <w:ind w:firstLine="568"/>
        <w:jc w:val="both"/>
      </w:pPr>
      <w:r>
        <w:t>Колонка </w:t>
      </w:r>
      <w:r>
        <w:rPr>
          <w:i/>
          <w:iCs/>
        </w:rPr>
        <w:t>w’</w:t>
      </w:r>
      <w:r>
        <w:t xml:space="preserve"> получена по формуле:</w:t>
      </w:r>
    </w:p>
    <w:p w:rsidR="00000000" w:rsidRDefault="005829C2">
      <w:pPr>
        <w:pStyle w:val="FORMATTEXT"/>
        <w:ind w:firstLine="568"/>
        <w:jc w:val="both"/>
      </w:pPr>
    </w:p>
    <w:p w:rsidR="00000000" w:rsidRDefault="00862BD0">
      <w:pPr>
        <w:pStyle w:val="FORMATTEXT"/>
        <w:jc w:val="center"/>
      </w:pPr>
      <w:r>
        <w:rPr>
          <w:noProof/>
          <w:position w:val="-17"/>
        </w:rPr>
        <w:drawing>
          <wp:inline distT="0" distB="0" distL="0" distR="0">
            <wp:extent cx="495300" cy="409575"/>
            <wp:effectExtent l="0" t="0" r="0" b="9525"/>
            <wp:docPr id="302" name="Рисунок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495300" cy="409575"/>
                    </a:xfrm>
                    <a:prstGeom prst="rect">
                      <a:avLst/>
                    </a:prstGeom>
                    <a:noFill/>
                    <a:ln>
                      <a:noFill/>
                    </a:ln>
                  </pic:spPr>
                </pic:pic>
              </a:graphicData>
            </a:graphic>
          </wp:inline>
        </w:drawing>
      </w:r>
      <w:r w:rsidR="005829C2">
        <w:t xml:space="preserve">. </w:t>
      </w:r>
    </w:p>
    <w:p w:rsidR="00000000" w:rsidRDefault="005829C2">
      <w:pPr>
        <w:pStyle w:val="FORMATTEXT"/>
        <w:ind w:firstLine="568"/>
        <w:jc w:val="both"/>
      </w:pPr>
      <w:r>
        <w:t xml:space="preserve">Для того чтобы удовлетворить условие, что веса, взятые вместе, дают в сумме единицу, веса </w:t>
      </w:r>
      <w:r>
        <w:rPr>
          <w:i/>
          <w:iCs/>
        </w:rPr>
        <w:t>w’</w:t>
      </w:r>
      <w:r>
        <w:t xml:space="preserve"> поделены на их сумму для получения окончательных весов: </w:t>
      </w:r>
    </w:p>
    <w:p w:rsidR="00000000" w:rsidRDefault="005829C2">
      <w:pPr>
        <w:pStyle w:val="FORMATTEXT"/>
        <w:jc w:val="center"/>
      </w:pPr>
    </w:p>
    <w:p w:rsidR="00000000" w:rsidRDefault="00862BD0">
      <w:pPr>
        <w:pStyle w:val="FORMATTEXT"/>
        <w:jc w:val="center"/>
      </w:pPr>
      <w:r>
        <w:rPr>
          <w:noProof/>
          <w:position w:val="-26"/>
        </w:rPr>
        <w:drawing>
          <wp:inline distT="0" distB="0" distL="0" distR="0">
            <wp:extent cx="638175" cy="638175"/>
            <wp:effectExtent l="0" t="0" r="9525" b="9525"/>
            <wp:docPr id="303" name="Рисунок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inline>
        </w:drawing>
      </w:r>
      <w:r w:rsidR="005829C2">
        <w:t>.</w:t>
      </w:r>
    </w:p>
    <w:p w:rsidR="00000000" w:rsidRDefault="005829C2">
      <w:pPr>
        <w:pStyle w:val="FORMATTEXT"/>
        <w:ind w:firstLine="568"/>
        <w:jc w:val="both"/>
      </w:pPr>
      <w:r>
        <w:t>Эти веса приведены в последне</w:t>
      </w:r>
      <w:r>
        <w:t>й колонке таблицы В.9. Среднее рассчитано по формуле:</w:t>
      </w:r>
    </w:p>
    <w:p w:rsidR="00000000" w:rsidRDefault="005829C2">
      <w:pPr>
        <w:pStyle w:val="FORMATTEXT"/>
        <w:ind w:firstLine="568"/>
        <w:jc w:val="both"/>
      </w:pPr>
    </w:p>
    <w:p w:rsidR="00000000" w:rsidRDefault="00862BD0">
      <w:pPr>
        <w:pStyle w:val="FORMATTEXT"/>
        <w:jc w:val="center"/>
      </w:pPr>
      <w:r>
        <w:rPr>
          <w:noProof/>
          <w:position w:val="-11"/>
        </w:rPr>
        <w:drawing>
          <wp:inline distT="0" distB="0" distL="0" distR="0">
            <wp:extent cx="1152525" cy="257175"/>
            <wp:effectExtent l="0" t="0" r="9525" b="9525"/>
            <wp:docPr id="304" name="Рисунок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1152525" cy="257175"/>
                    </a:xfrm>
                    <a:prstGeom prst="rect">
                      <a:avLst/>
                    </a:prstGeom>
                    <a:noFill/>
                    <a:ln>
                      <a:noFill/>
                    </a:ln>
                  </pic:spPr>
                </pic:pic>
              </a:graphicData>
            </a:graphic>
          </wp:inline>
        </w:drawing>
      </w:r>
      <w:r w:rsidR="005829C2">
        <w:t xml:space="preserve">мг/кг. </w:t>
      </w:r>
    </w:p>
    <w:p w:rsidR="00000000" w:rsidRDefault="005829C2">
      <w:pPr>
        <w:pStyle w:val="FORMATTEXT"/>
        <w:ind w:firstLine="568"/>
        <w:jc w:val="both"/>
      </w:pPr>
      <w:r>
        <w:t>Соответствующая стандартная неопределенность рассчитана по формуле:</w:t>
      </w:r>
    </w:p>
    <w:p w:rsidR="00000000" w:rsidRDefault="005829C2">
      <w:pPr>
        <w:pStyle w:val="FORMATTEXT"/>
        <w:ind w:firstLine="568"/>
        <w:jc w:val="both"/>
      </w:pPr>
    </w:p>
    <w:p w:rsidR="00000000" w:rsidRDefault="00862BD0">
      <w:pPr>
        <w:pStyle w:val="FORMATTEXT"/>
        <w:jc w:val="center"/>
      </w:pPr>
      <w:r>
        <w:rPr>
          <w:noProof/>
          <w:position w:val="-13"/>
        </w:rPr>
        <w:drawing>
          <wp:inline distT="0" distB="0" distL="0" distR="0">
            <wp:extent cx="2019300" cy="304800"/>
            <wp:effectExtent l="0" t="0" r="0" b="0"/>
            <wp:docPr id="305" name="Рисунок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2019300" cy="304800"/>
                    </a:xfrm>
                    <a:prstGeom prst="rect">
                      <a:avLst/>
                    </a:prstGeom>
                    <a:noFill/>
                    <a:ln>
                      <a:noFill/>
                    </a:ln>
                  </pic:spPr>
                </pic:pic>
              </a:graphicData>
            </a:graphic>
          </wp:inline>
        </w:drawing>
      </w:r>
      <w:r w:rsidR="005829C2">
        <w:t xml:space="preserve">мг/кг. </w:t>
      </w:r>
    </w:p>
    <w:p w:rsidR="00000000" w:rsidRDefault="005829C2">
      <w:pPr>
        <w:pStyle w:val="FORMATTEXT"/>
        <w:jc w:val="center"/>
      </w:pPr>
      <w:r>
        <w:t>     </w:t>
      </w:r>
    </w:p>
    <w:p w:rsidR="00000000" w:rsidRDefault="005829C2">
      <w:pPr>
        <w:pStyle w:val="FORMATTEXT"/>
        <w:jc w:val="center"/>
      </w:pPr>
      <w:r>
        <w:t xml:space="preserve">      </w:t>
      </w:r>
    </w:p>
    <w:p w:rsidR="00000000" w:rsidRDefault="005829C2">
      <w:pPr>
        <w:pStyle w:val="FORMATTEXT"/>
        <w:jc w:val="center"/>
      </w:pPr>
      <w:r>
        <w:t>Приложение ДА</w:t>
      </w:r>
    </w:p>
    <w:p w:rsidR="00000000" w:rsidRDefault="005829C2">
      <w:pPr>
        <w:pStyle w:val="FORMATTEXT"/>
        <w:jc w:val="center"/>
      </w:pPr>
      <w:r>
        <w:t xml:space="preserve">(справочное) </w:t>
      </w:r>
    </w:p>
    <w:p w:rsidR="00000000" w:rsidRDefault="005829C2">
      <w:pPr>
        <w:pStyle w:val="HEADERTEXT"/>
        <w:rPr>
          <w:b/>
          <w:bCs/>
          <w:color w:val="000001"/>
        </w:rPr>
      </w:pPr>
    </w:p>
    <w:p w:rsidR="00000000" w:rsidRDefault="005829C2">
      <w:pPr>
        <w:pStyle w:val="HEADERTEXT"/>
        <w:jc w:val="center"/>
        <w:rPr>
          <w:b/>
          <w:bCs/>
          <w:color w:val="000001"/>
        </w:rPr>
      </w:pPr>
      <w:r>
        <w:rPr>
          <w:b/>
          <w:bCs/>
          <w:color w:val="000001"/>
        </w:rPr>
        <w:t xml:space="preserve">   </w:t>
      </w:r>
      <w:r>
        <w:rPr>
          <w:b/>
          <w:bCs/>
          <w:color w:val="000001"/>
        </w:rPr>
        <w:t>   </w:t>
      </w:r>
    </w:p>
    <w:p w:rsidR="00000000" w:rsidRDefault="005829C2">
      <w:pPr>
        <w:pStyle w:val="HEADERTEXT"/>
        <w:jc w:val="center"/>
        <w:rPr>
          <w:b/>
          <w:bCs/>
          <w:color w:val="000001"/>
        </w:rPr>
      </w:pPr>
      <w:r>
        <w:rPr>
          <w:b/>
          <w:bCs/>
          <w:color w:val="000001"/>
        </w:rPr>
        <w:t xml:space="preserve">Сведения о соответствии ссылочных международных стандартов межгосударственным стандартам </w:t>
      </w:r>
    </w:p>
    <w:p w:rsidR="00000000" w:rsidRDefault="005829C2">
      <w:pPr>
        <w:pStyle w:val="FORMATTEXT"/>
        <w:jc w:val="both"/>
      </w:pPr>
      <w:r>
        <w:t>Таблица Д.1*</w:t>
      </w:r>
    </w:p>
    <w:p w:rsidR="00000000" w:rsidRDefault="005829C2">
      <w:pPr>
        <w:pStyle w:val="FORMATTEXT"/>
        <w:jc w:val="both"/>
      </w:pPr>
      <w:r>
        <w:t xml:space="preserve">________________ </w:t>
      </w:r>
    </w:p>
    <w:p w:rsidR="00000000" w:rsidRDefault="005829C2">
      <w:pPr>
        <w:pStyle w:val="FORMATTEXT"/>
        <w:ind w:firstLine="568"/>
        <w:jc w:val="both"/>
      </w:pPr>
      <w:r>
        <w:t>* Текст документа соответствует оригиналу. - Примечание изготовителя базы данных.</w:t>
      </w:r>
    </w:p>
    <w:p w:rsidR="00000000" w:rsidRDefault="005829C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3480"/>
        <w:gridCol w:w="1995"/>
        <w:gridCol w:w="3720"/>
      </w:tblGrid>
      <w:tr w:rsidR="00000000">
        <w:tblPrEx>
          <w:tblCellMar>
            <w:top w:w="0" w:type="dxa"/>
            <w:bottom w:w="0" w:type="dxa"/>
          </w:tblCellMar>
        </w:tblPrEx>
        <w:tc>
          <w:tcPr>
            <w:tcW w:w="3480"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199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3720"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348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Обозначение ссылочного международного докуме</w:t>
            </w:r>
            <w:r>
              <w:rPr>
                <w:sz w:val="18"/>
                <w:szCs w:val="18"/>
              </w:rPr>
              <w:t xml:space="preserve">нта </w:t>
            </w:r>
          </w:p>
        </w:tc>
        <w:tc>
          <w:tcPr>
            <w:tcW w:w="19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FORMATTEXT"/>
              <w:jc w:val="center"/>
              <w:rPr>
                <w:sz w:val="18"/>
                <w:szCs w:val="18"/>
              </w:rPr>
            </w:pPr>
            <w:r>
              <w:rPr>
                <w:sz w:val="18"/>
                <w:szCs w:val="18"/>
              </w:rPr>
              <w:t>Степень</w:t>
            </w:r>
          </w:p>
          <w:p w:rsidR="00000000" w:rsidRDefault="005829C2">
            <w:pPr>
              <w:pStyle w:val="a3"/>
              <w:jc w:val="center"/>
              <w:rPr>
                <w:sz w:val="18"/>
                <w:szCs w:val="18"/>
              </w:rPr>
            </w:pPr>
            <w:r>
              <w:rPr>
                <w:sz w:val="18"/>
                <w:szCs w:val="18"/>
              </w:rPr>
              <w:t xml:space="preserve">соответствия </w:t>
            </w:r>
          </w:p>
        </w:tc>
        <w:tc>
          <w:tcPr>
            <w:tcW w:w="372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jc w:val="center"/>
              <w:rPr>
                <w:sz w:val="18"/>
                <w:szCs w:val="18"/>
              </w:rPr>
            </w:pPr>
            <w:r>
              <w:rPr>
                <w:sz w:val="18"/>
                <w:szCs w:val="18"/>
              </w:rPr>
              <w:t>Обозначение и наименование соответствующего межгосударственного стандарта</w:t>
            </w:r>
          </w:p>
        </w:tc>
      </w:tr>
      <w:tr w:rsidR="00000000">
        <w:tblPrEx>
          <w:tblCellMar>
            <w:top w:w="0" w:type="dxa"/>
            <w:bottom w:w="0" w:type="dxa"/>
          </w:tblCellMar>
        </w:tblPrEx>
        <w:tc>
          <w:tcPr>
            <w:tcW w:w="3480"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rPr>
                <w:sz w:val="18"/>
                <w:szCs w:val="18"/>
              </w:rPr>
            </w:pPr>
            <w:r>
              <w:rPr>
                <w:sz w:val="18"/>
                <w:szCs w:val="18"/>
              </w:rPr>
              <w:t xml:space="preserve">Руководство ISO </w:t>
            </w:r>
            <w:proofErr w:type="spellStart"/>
            <w:r>
              <w:rPr>
                <w:sz w:val="18"/>
                <w:szCs w:val="18"/>
              </w:rPr>
              <w:t>Guide</w:t>
            </w:r>
            <w:proofErr w:type="spellEnd"/>
            <w:r>
              <w:rPr>
                <w:sz w:val="18"/>
                <w:szCs w:val="18"/>
              </w:rPr>
              <w:t xml:space="preserve"> 30 </w:t>
            </w:r>
          </w:p>
        </w:tc>
        <w:tc>
          <w:tcPr>
            <w:tcW w:w="1995" w:type="dxa"/>
            <w:tcBorders>
              <w:top w:val="single" w:sz="6" w:space="0" w:color="auto"/>
              <w:left w:val="single" w:sz="6" w:space="0" w:color="auto"/>
              <w:bottom w:val="nil"/>
              <w:right w:val="nil"/>
            </w:tcBorders>
            <w:tcMar>
              <w:top w:w="114" w:type="dxa"/>
              <w:left w:w="28" w:type="dxa"/>
              <w:bottom w:w="114" w:type="dxa"/>
              <w:right w:w="28" w:type="dxa"/>
            </w:tcMar>
          </w:tcPr>
          <w:p w:rsidR="00000000" w:rsidRDefault="005829C2">
            <w:pPr>
              <w:pStyle w:val="a3"/>
              <w:jc w:val="center"/>
              <w:rPr>
                <w:sz w:val="18"/>
                <w:szCs w:val="18"/>
              </w:rPr>
            </w:pPr>
            <w:r>
              <w:rPr>
                <w:sz w:val="18"/>
                <w:szCs w:val="18"/>
              </w:rPr>
              <w:t xml:space="preserve">MOD </w:t>
            </w:r>
          </w:p>
        </w:tc>
        <w:tc>
          <w:tcPr>
            <w:tcW w:w="372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829C2">
            <w:pPr>
              <w:pStyle w:val="a3"/>
              <w:rPr>
                <w:sz w:val="18"/>
                <w:szCs w:val="18"/>
              </w:rPr>
            </w:pPr>
            <w:r>
              <w:rPr>
                <w:sz w:val="18"/>
                <w:szCs w:val="18"/>
              </w:rPr>
              <w:t>ГОСТ 32934-2014 "Стандартные образцы. Термины и определения, используемые в области стандартных образцов"</w:t>
            </w:r>
          </w:p>
        </w:tc>
      </w:tr>
      <w:tr w:rsidR="00000000">
        <w:tblPrEx>
          <w:tblCellMar>
            <w:top w:w="0" w:type="dxa"/>
            <w:bottom w:w="0" w:type="dxa"/>
          </w:tblCellMar>
        </w:tblPrEx>
        <w:tc>
          <w:tcPr>
            <w:tcW w:w="919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829C2">
            <w:pPr>
              <w:pStyle w:val="FORMATTEXT"/>
              <w:rPr>
                <w:sz w:val="18"/>
                <w:szCs w:val="18"/>
              </w:rPr>
            </w:pPr>
            <w:r>
              <w:rPr>
                <w:sz w:val="18"/>
                <w:szCs w:val="18"/>
              </w:rPr>
              <w:t>     Примечание</w:t>
            </w:r>
            <w:r>
              <w:rPr>
                <w:sz w:val="18"/>
                <w:szCs w:val="18"/>
              </w:rPr>
              <w:t xml:space="preserve"> - </w:t>
            </w:r>
            <w:proofErr w:type="gramStart"/>
            <w:r>
              <w:rPr>
                <w:sz w:val="18"/>
                <w:szCs w:val="18"/>
              </w:rPr>
              <w:t>В</w:t>
            </w:r>
            <w:proofErr w:type="gramEnd"/>
            <w:r>
              <w:rPr>
                <w:sz w:val="18"/>
                <w:szCs w:val="18"/>
              </w:rPr>
              <w:t xml:space="preserve"> настоящей таблице использовано следующее условное обозначение степени соответствия стандарта:</w:t>
            </w:r>
          </w:p>
          <w:p w:rsidR="00000000" w:rsidRDefault="005829C2">
            <w:pPr>
              <w:pStyle w:val="FORMATTEXT"/>
              <w:rPr>
                <w:sz w:val="18"/>
                <w:szCs w:val="18"/>
              </w:rPr>
            </w:pPr>
          </w:p>
          <w:p w:rsidR="00000000" w:rsidRDefault="005829C2">
            <w:pPr>
              <w:pStyle w:val="a3"/>
              <w:rPr>
                <w:sz w:val="18"/>
                <w:szCs w:val="18"/>
              </w:rPr>
            </w:pPr>
            <w:r>
              <w:rPr>
                <w:sz w:val="18"/>
                <w:szCs w:val="18"/>
              </w:rPr>
              <w:t>     - MOD - модифицированный стандарт.</w:t>
            </w:r>
          </w:p>
        </w:tc>
      </w:tr>
    </w:tbl>
    <w:p w:rsidR="00000000" w:rsidRDefault="005829C2">
      <w:pPr>
        <w:pStyle w:val="a3"/>
      </w:pPr>
    </w:p>
    <w:p w:rsidR="00000000" w:rsidRDefault="005829C2">
      <w:pPr>
        <w:pStyle w:val="HEADERTEXT"/>
        <w:rPr>
          <w:b/>
          <w:bCs/>
          <w:color w:val="000001"/>
        </w:rPr>
      </w:pPr>
    </w:p>
    <w:p w:rsidR="00000000" w:rsidRDefault="005829C2">
      <w:pPr>
        <w:pStyle w:val="HEADERTEXT"/>
        <w:jc w:val="center"/>
        <w:rPr>
          <w:b/>
          <w:bCs/>
          <w:color w:val="000001"/>
        </w:rPr>
      </w:pPr>
      <w:r>
        <w:rPr>
          <w:b/>
          <w:bCs/>
          <w:color w:val="000001"/>
        </w:rPr>
        <w:t xml:space="preserve"> Библиография </w:t>
      </w:r>
    </w:p>
    <w:p w:rsidR="00000000" w:rsidRDefault="005829C2">
      <w:pPr>
        <w:pStyle w:val="FORMATTEXT"/>
        <w:jc w:val="center"/>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840"/>
        <w:gridCol w:w="15"/>
        <w:gridCol w:w="165"/>
        <w:gridCol w:w="1395"/>
        <w:gridCol w:w="6735"/>
      </w:tblGrid>
      <w:tr w:rsidR="00000000">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180" w:type="dxa"/>
            <w:gridSpan w:val="2"/>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139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c>
          <w:tcPr>
            <w:tcW w:w="6735" w:type="dxa"/>
            <w:tcBorders>
              <w:top w:val="nil"/>
              <w:left w:val="nil"/>
              <w:bottom w:val="nil"/>
              <w:right w:val="nil"/>
            </w:tcBorders>
            <w:tcMar>
              <w:top w:w="114" w:type="dxa"/>
              <w:left w:w="28" w:type="dxa"/>
              <w:bottom w:w="114" w:type="dxa"/>
              <w:right w:w="28" w:type="dxa"/>
            </w:tcMar>
          </w:tcPr>
          <w:p w:rsidR="00000000" w:rsidRDefault="005829C2">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[1] </w:t>
            </w:r>
          </w:p>
        </w:tc>
        <w:tc>
          <w:tcPr>
            <w:tcW w:w="1575" w:type="dxa"/>
            <w:gridSpan w:val="3"/>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ISO 5725-1 </w:t>
            </w:r>
          </w:p>
        </w:tc>
        <w:tc>
          <w:tcPr>
            <w:tcW w:w="6735"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sidRPr="00AC1147">
              <w:rPr>
                <w:sz w:val="18"/>
                <w:szCs w:val="18"/>
                <w:lang w:val="en-US"/>
              </w:rPr>
              <w:t>Accuracy (trueness and precision) of measurement methods and results - Part 1: General principles and definitions [</w:t>
            </w:r>
            <w:r>
              <w:rPr>
                <w:sz w:val="18"/>
                <w:szCs w:val="18"/>
              </w:rPr>
              <w:t>Точность</w:t>
            </w:r>
            <w:r w:rsidRPr="00AC1147">
              <w:rPr>
                <w:sz w:val="18"/>
                <w:szCs w:val="18"/>
                <w:lang w:val="en-US"/>
              </w:rPr>
              <w:t xml:space="preserve"> (</w:t>
            </w:r>
            <w:r>
              <w:rPr>
                <w:sz w:val="18"/>
                <w:szCs w:val="18"/>
              </w:rPr>
              <w:t>правильность</w:t>
            </w:r>
            <w:r w:rsidRPr="00AC1147">
              <w:rPr>
                <w:sz w:val="18"/>
                <w:szCs w:val="18"/>
                <w:lang w:val="en-US"/>
              </w:rPr>
              <w:t xml:space="preserve"> </w:t>
            </w:r>
            <w:r>
              <w:rPr>
                <w:sz w:val="18"/>
                <w:szCs w:val="18"/>
              </w:rPr>
              <w:t>и</w:t>
            </w:r>
            <w:r w:rsidRPr="00AC1147">
              <w:rPr>
                <w:sz w:val="18"/>
                <w:szCs w:val="18"/>
                <w:lang w:val="en-US"/>
              </w:rPr>
              <w:t xml:space="preserve"> </w:t>
            </w:r>
            <w:proofErr w:type="spellStart"/>
            <w:r>
              <w:rPr>
                <w:sz w:val="18"/>
                <w:szCs w:val="18"/>
              </w:rPr>
              <w:t>прецизионность</w:t>
            </w:r>
            <w:proofErr w:type="spellEnd"/>
            <w:r w:rsidRPr="00AC1147">
              <w:rPr>
                <w:sz w:val="18"/>
                <w:szCs w:val="18"/>
                <w:lang w:val="en-US"/>
              </w:rPr>
              <w:t xml:space="preserve">) </w:t>
            </w:r>
            <w:r>
              <w:rPr>
                <w:sz w:val="18"/>
                <w:szCs w:val="18"/>
              </w:rPr>
              <w:t>методов</w:t>
            </w:r>
            <w:r w:rsidRPr="00AC1147">
              <w:rPr>
                <w:sz w:val="18"/>
                <w:szCs w:val="18"/>
                <w:lang w:val="en-US"/>
              </w:rPr>
              <w:t xml:space="preserve"> </w:t>
            </w:r>
            <w:r>
              <w:rPr>
                <w:sz w:val="18"/>
                <w:szCs w:val="18"/>
              </w:rPr>
              <w:t>и</w:t>
            </w:r>
            <w:r w:rsidRPr="00AC1147">
              <w:rPr>
                <w:sz w:val="18"/>
                <w:szCs w:val="18"/>
                <w:lang w:val="en-US"/>
              </w:rPr>
              <w:t xml:space="preserve"> </w:t>
            </w:r>
            <w:r>
              <w:rPr>
                <w:sz w:val="18"/>
                <w:szCs w:val="18"/>
              </w:rPr>
              <w:t>результатов</w:t>
            </w:r>
            <w:r w:rsidRPr="00AC1147">
              <w:rPr>
                <w:sz w:val="18"/>
                <w:szCs w:val="18"/>
                <w:lang w:val="en-US"/>
              </w:rPr>
              <w:t xml:space="preserve"> </w:t>
            </w:r>
            <w:r>
              <w:rPr>
                <w:sz w:val="18"/>
                <w:szCs w:val="18"/>
              </w:rPr>
              <w:t>измерений</w:t>
            </w:r>
            <w:r w:rsidRPr="00AC1147">
              <w:rPr>
                <w:sz w:val="18"/>
                <w:szCs w:val="18"/>
                <w:lang w:val="en-US"/>
              </w:rPr>
              <w:t xml:space="preserve">. </w:t>
            </w:r>
            <w:r>
              <w:rPr>
                <w:sz w:val="18"/>
                <w:szCs w:val="18"/>
              </w:rPr>
              <w:t>Часть 1. Общие положения и определения]</w:t>
            </w:r>
          </w:p>
        </w:tc>
      </w:tr>
      <w:tr w:rsidR="00000000">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[2] </w:t>
            </w:r>
          </w:p>
        </w:tc>
        <w:tc>
          <w:tcPr>
            <w:tcW w:w="1575" w:type="dxa"/>
            <w:gridSpan w:val="3"/>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ISO 5725-2 </w:t>
            </w:r>
          </w:p>
        </w:tc>
        <w:tc>
          <w:tcPr>
            <w:tcW w:w="6735"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sidRPr="00AC1147">
              <w:rPr>
                <w:sz w:val="18"/>
                <w:szCs w:val="18"/>
                <w:lang w:val="en-US"/>
              </w:rPr>
              <w:t>Accuracy (trueness and precision) of measurement methods and results - Part 2: Basic method for the determination of repeatability and reproducibility of a standard measurement method [</w:t>
            </w:r>
            <w:r>
              <w:rPr>
                <w:sz w:val="18"/>
                <w:szCs w:val="18"/>
              </w:rPr>
              <w:t>Точность</w:t>
            </w:r>
            <w:r w:rsidRPr="00AC1147">
              <w:rPr>
                <w:sz w:val="18"/>
                <w:szCs w:val="18"/>
                <w:lang w:val="en-US"/>
              </w:rPr>
              <w:t xml:space="preserve"> (</w:t>
            </w:r>
            <w:r>
              <w:rPr>
                <w:sz w:val="18"/>
                <w:szCs w:val="18"/>
              </w:rPr>
              <w:t>правильность</w:t>
            </w:r>
            <w:r w:rsidRPr="00AC1147">
              <w:rPr>
                <w:sz w:val="18"/>
                <w:szCs w:val="18"/>
                <w:lang w:val="en-US"/>
              </w:rPr>
              <w:t xml:space="preserve"> </w:t>
            </w:r>
            <w:r>
              <w:rPr>
                <w:sz w:val="18"/>
                <w:szCs w:val="18"/>
              </w:rPr>
              <w:t>и</w:t>
            </w:r>
            <w:r w:rsidRPr="00AC1147">
              <w:rPr>
                <w:sz w:val="18"/>
                <w:szCs w:val="18"/>
                <w:lang w:val="en-US"/>
              </w:rPr>
              <w:t xml:space="preserve"> </w:t>
            </w:r>
            <w:proofErr w:type="spellStart"/>
            <w:r>
              <w:rPr>
                <w:sz w:val="18"/>
                <w:szCs w:val="18"/>
              </w:rPr>
              <w:t>прецизионность</w:t>
            </w:r>
            <w:proofErr w:type="spellEnd"/>
            <w:r w:rsidRPr="00AC1147">
              <w:rPr>
                <w:sz w:val="18"/>
                <w:szCs w:val="18"/>
                <w:lang w:val="en-US"/>
              </w:rPr>
              <w:t xml:space="preserve">) </w:t>
            </w:r>
            <w:r>
              <w:rPr>
                <w:sz w:val="18"/>
                <w:szCs w:val="18"/>
              </w:rPr>
              <w:t>методов</w:t>
            </w:r>
            <w:r w:rsidRPr="00AC1147">
              <w:rPr>
                <w:sz w:val="18"/>
                <w:szCs w:val="18"/>
                <w:lang w:val="en-US"/>
              </w:rPr>
              <w:t xml:space="preserve"> </w:t>
            </w:r>
            <w:r>
              <w:rPr>
                <w:sz w:val="18"/>
                <w:szCs w:val="18"/>
              </w:rPr>
              <w:t>и</w:t>
            </w:r>
            <w:r w:rsidRPr="00AC1147">
              <w:rPr>
                <w:sz w:val="18"/>
                <w:szCs w:val="18"/>
                <w:lang w:val="en-US"/>
              </w:rPr>
              <w:t xml:space="preserve"> </w:t>
            </w:r>
            <w:r>
              <w:rPr>
                <w:sz w:val="18"/>
                <w:szCs w:val="18"/>
              </w:rPr>
              <w:t>результатов</w:t>
            </w:r>
            <w:r w:rsidRPr="00AC1147">
              <w:rPr>
                <w:sz w:val="18"/>
                <w:szCs w:val="18"/>
                <w:lang w:val="en-US"/>
              </w:rPr>
              <w:t xml:space="preserve"> </w:t>
            </w:r>
            <w:r>
              <w:rPr>
                <w:sz w:val="18"/>
                <w:szCs w:val="18"/>
              </w:rPr>
              <w:t>измерени</w:t>
            </w:r>
            <w:r>
              <w:rPr>
                <w:sz w:val="18"/>
                <w:szCs w:val="18"/>
              </w:rPr>
              <w:t>й</w:t>
            </w:r>
            <w:r w:rsidRPr="00AC1147">
              <w:rPr>
                <w:sz w:val="18"/>
                <w:szCs w:val="18"/>
                <w:lang w:val="en-US"/>
              </w:rPr>
              <w:t xml:space="preserve">. </w:t>
            </w:r>
            <w:r>
              <w:rPr>
                <w:sz w:val="18"/>
                <w:szCs w:val="18"/>
              </w:rPr>
              <w:t xml:space="preserve">Часть 2. Основной метод определения повторяемости </w:t>
            </w:r>
            <w:r>
              <w:rPr>
                <w:sz w:val="18"/>
                <w:szCs w:val="18"/>
              </w:rPr>
              <w:lastRenderedPageBreak/>
              <w:t xml:space="preserve">и </w:t>
            </w:r>
            <w:proofErr w:type="spellStart"/>
            <w:r>
              <w:rPr>
                <w:sz w:val="18"/>
                <w:szCs w:val="18"/>
              </w:rPr>
              <w:t>воспроизводимости</w:t>
            </w:r>
            <w:proofErr w:type="spellEnd"/>
            <w:r>
              <w:rPr>
                <w:sz w:val="18"/>
                <w:szCs w:val="18"/>
              </w:rPr>
              <w:t xml:space="preserve"> стандартного метода измерений]</w:t>
            </w:r>
          </w:p>
        </w:tc>
      </w:tr>
      <w:tr w:rsidR="00000000">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lastRenderedPageBreak/>
              <w:t xml:space="preserve">[3] </w:t>
            </w:r>
          </w:p>
        </w:tc>
        <w:tc>
          <w:tcPr>
            <w:tcW w:w="1575" w:type="dxa"/>
            <w:gridSpan w:val="3"/>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ISO 5725-3 </w:t>
            </w:r>
          </w:p>
        </w:tc>
        <w:tc>
          <w:tcPr>
            <w:tcW w:w="6735"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sidRPr="00AC1147">
              <w:rPr>
                <w:sz w:val="18"/>
                <w:szCs w:val="18"/>
                <w:lang w:val="en-US"/>
              </w:rPr>
              <w:t>Accuracy (trueness and precision) of measurement methods and results - Part 3: Intermediate measures of the precision of a standard me</w:t>
            </w:r>
            <w:r w:rsidRPr="00AC1147">
              <w:rPr>
                <w:sz w:val="18"/>
                <w:szCs w:val="18"/>
                <w:lang w:val="en-US"/>
              </w:rPr>
              <w:t>asurement method [</w:t>
            </w:r>
            <w:r>
              <w:rPr>
                <w:sz w:val="18"/>
                <w:szCs w:val="18"/>
              </w:rPr>
              <w:t>Точность</w:t>
            </w:r>
            <w:r w:rsidRPr="00AC1147">
              <w:rPr>
                <w:sz w:val="18"/>
                <w:szCs w:val="18"/>
                <w:lang w:val="en-US"/>
              </w:rPr>
              <w:t xml:space="preserve"> (</w:t>
            </w:r>
            <w:r>
              <w:rPr>
                <w:sz w:val="18"/>
                <w:szCs w:val="18"/>
              </w:rPr>
              <w:t>правильность</w:t>
            </w:r>
            <w:r w:rsidRPr="00AC1147">
              <w:rPr>
                <w:sz w:val="18"/>
                <w:szCs w:val="18"/>
                <w:lang w:val="en-US"/>
              </w:rPr>
              <w:t xml:space="preserve"> </w:t>
            </w:r>
            <w:r>
              <w:rPr>
                <w:sz w:val="18"/>
                <w:szCs w:val="18"/>
              </w:rPr>
              <w:t>и</w:t>
            </w:r>
            <w:r w:rsidRPr="00AC1147">
              <w:rPr>
                <w:sz w:val="18"/>
                <w:szCs w:val="18"/>
                <w:lang w:val="en-US"/>
              </w:rPr>
              <w:t xml:space="preserve"> </w:t>
            </w:r>
            <w:proofErr w:type="spellStart"/>
            <w:r>
              <w:rPr>
                <w:sz w:val="18"/>
                <w:szCs w:val="18"/>
              </w:rPr>
              <w:t>прецизионность</w:t>
            </w:r>
            <w:proofErr w:type="spellEnd"/>
            <w:r w:rsidRPr="00AC1147">
              <w:rPr>
                <w:sz w:val="18"/>
                <w:szCs w:val="18"/>
                <w:lang w:val="en-US"/>
              </w:rPr>
              <w:t xml:space="preserve">) </w:t>
            </w:r>
            <w:r>
              <w:rPr>
                <w:sz w:val="18"/>
                <w:szCs w:val="18"/>
              </w:rPr>
              <w:t>методов</w:t>
            </w:r>
            <w:r w:rsidRPr="00AC1147">
              <w:rPr>
                <w:sz w:val="18"/>
                <w:szCs w:val="18"/>
                <w:lang w:val="en-US"/>
              </w:rPr>
              <w:t xml:space="preserve"> </w:t>
            </w:r>
            <w:r>
              <w:rPr>
                <w:sz w:val="18"/>
                <w:szCs w:val="18"/>
              </w:rPr>
              <w:t>и</w:t>
            </w:r>
            <w:r w:rsidRPr="00AC1147">
              <w:rPr>
                <w:sz w:val="18"/>
                <w:szCs w:val="18"/>
                <w:lang w:val="en-US"/>
              </w:rPr>
              <w:t xml:space="preserve"> </w:t>
            </w:r>
            <w:r>
              <w:rPr>
                <w:sz w:val="18"/>
                <w:szCs w:val="18"/>
              </w:rPr>
              <w:t>результатов</w:t>
            </w:r>
            <w:r w:rsidRPr="00AC1147">
              <w:rPr>
                <w:sz w:val="18"/>
                <w:szCs w:val="18"/>
                <w:lang w:val="en-US"/>
              </w:rPr>
              <w:t xml:space="preserve"> </w:t>
            </w:r>
            <w:r>
              <w:rPr>
                <w:sz w:val="18"/>
                <w:szCs w:val="18"/>
              </w:rPr>
              <w:t>измерений</w:t>
            </w:r>
            <w:r w:rsidRPr="00AC1147">
              <w:rPr>
                <w:sz w:val="18"/>
                <w:szCs w:val="18"/>
                <w:lang w:val="en-US"/>
              </w:rPr>
              <w:t xml:space="preserve">. </w:t>
            </w:r>
            <w:r>
              <w:rPr>
                <w:sz w:val="18"/>
                <w:szCs w:val="18"/>
              </w:rPr>
              <w:t xml:space="preserve">Часть 3. Промежуточные критерии </w:t>
            </w:r>
            <w:proofErr w:type="spellStart"/>
            <w:r>
              <w:rPr>
                <w:sz w:val="18"/>
                <w:szCs w:val="18"/>
              </w:rPr>
              <w:t>прецизионности</w:t>
            </w:r>
            <w:proofErr w:type="spellEnd"/>
            <w:r>
              <w:rPr>
                <w:sz w:val="18"/>
                <w:szCs w:val="18"/>
              </w:rPr>
              <w:t xml:space="preserve"> стандартного метода измерений]</w:t>
            </w:r>
          </w:p>
        </w:tc>
      </w:tr>
      <w:tr w:rsidR="00000000">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[4] </w:t>
            </w:r>
          </w:p>
        </w:tc>
        <w:tc>
          <w:tcPr>
            <w:tcW w:w="1575" w:type="dxa"/>
            <w:gridSpan w:val="3"/>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ISO 5725-4 </w:t>
            </w:r>
          </w:p>
        </w:tc>
        <w:tc>
          <w:tcPr>
            <w:tcW w:w="6735"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sidRPr="00AC1147">
              <w:rPr>
                <w:sz w:val="18"/>
                <w:szCs w:val="18"/>
                <w:lang w:val="en-US"/>
              </w:rPr>
              <w:t>Accuracy (trueness and precision) of measurement methods and results</w:t>
            </w:r>
            <w:r w:rsidRPr="00AC1147">
              <w:rPr>
                <w:sz w:val="18"/>
                <w:szCs w:val="18"/>
                <w:lang w:val="en-US"/>
              </w:rPr>
              <w:t xml:space="preserve"> - Part 4: Basic methods for the determination of the trueness of a standard measurement method [</w:t>
            </w:r>
            <w:r>
              <w:rPr>
                <w:sz w:val="18"/>
                <w:szCs w:val="18"/>
              </w:rPr>
              <w:t>Точность</w:t>
            </w:r>
            <w:r w:rsidRPr="00AC1147">
              <w:rPr>
                <w:sz w:val="18"/>
                <w:szCs w:val="18"/>
                <w:lang w:val="en-US"/>
              </w:rPr>
              <w:t xml:space="preserve"> (</w:t>
            </w:r>
            <w:r>
              <w:rPr>
                <w:sz w:val="18"/>
                <w:szCs w:val="18"/>
              </w:rPr>
              <w:t>правильность</w:t>
            </w:r>
            <w:r w:rsidRPr="00AC1147">
              <w:rPr>
                <w:sz w:val="18"/>
                <w:szCs w:val="18"/>
                <w:lang w:val="en-US"/>
              </w:rPr>
              <w:t xml:space="preserve"> </w:t>
            </w:r>
            <w:r>
              <w:rPr>
                <w:sz w:val="18"/>
                <w:szCs w:val="18"/>
              </w:rPr>
              <w:t>и</w:t>
            </w:r>
            <w:r w:rsidRPr="00AC1147">
              <w:rPr>
                <w:sz w:val="18"/>
                <w:szCs w:val="18"/>
                <w:lang w:val="en-US"/>
              </w:rPr>
              <w:t xml:space="preserve"> </w:t>
            </w:r>
            <w:proofErr w:type="spellStart"/>
            <w:r>
              <w:rPr>
                <w:sz w:val="18"/>
                <w:szCs w:val="18"/>
              </w:rPr>
              <w:t>прецизионность</w:t>
            </w:r>
            <w:proofErr w:type="spellEnd"/>
            <w:r w:rsidRPr="00AC1147">
              <w:rPr>
                <w:sz w:val="18"/>
                <w:szCs w:val="18"/>
                <w:lang w:val="en-US"/>
              </w:rPr>
              <w:t xml:space="preserve">) </w:t>
            </w:r>
            <w:r>
              <w:rPr>
                <w:sz w:val="18"/>
                <w:szCs w:val="18"/>
              </w:rPr>
              <w:t>методов</w:t>
            </w:r>
            <w:r w:rsidRPr="00AC1147">
              <w:rPr>
                <w:sz w:val="18"/>
                <w:szCs w:val="18"/>
                <w:lang w:val="en-US"/>
              </w:rPr>
              <w:t xml:space="preserve"> </w:t>
            </w:r>
            <w:r>
              <w:rPr>
                <w:sz w:val="18"/>
                <w:szCs w:val="18"/>
              </w:rPr>
              <w:t>и</w:t>
            </w:r>
            <w:r w:rsidRPr="00AC1147">
              <w:rPr>
                <w:sz w:val="18"/>
                <w:szCs w:val="18"/>
                <w:lang w:val="en-US"/>
              </w:rPr>
              <w:t xml:space="preserve"> </w:t>
            </w:r>
            <w:r>
              <w:rPr>
                <w:sz w:val="18"/>
                <w:szCs w:val="18"/>
              </w:rPr>
              <w:t>результатов</w:t>
            </w:r>
            <w:r w:rsidRPr="00AC1147">
              <w:rPr>
                <w:sz w:val="18"/>
                <w:szCs w:val="18"/>
                <w:lang w:val="en-US"/>
              </w:rPr>
              <w:t xml:space="preserve"> </w:t>
            </w:r>
            <w:r>
              <w:rPr>
                <w:sz w:val="18"/>
                <w:szCs w:val="18"/>
              </w:rPr>
              <w:t>измерений</w:t>
            </w:r>
            <w:r w:rsidRPr="00AC1147">
              <w:rPr>
                <w:sz w:val="18"/>
                <w:szCs w:val="18"/>
                <w:lang w:val="en-US"/>
              </w:rPr>
              <w:t xml:space="preserve">. </w:t>
            </w:r>
            <w:r>
              <w:rPr>
                <w:sz w:val="18"/>
                <w:szCs w:val="18"/>
              </w:rPr>
              <w:t>Часть 4. Основные методы определения правильности стандартного метода измерений]</w:t>
            </w:r>
          </w:p>
        </w:tc>
      </w:tr>
      <w:tr w:rsidR="00000000">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[5]</w:t>
            </w:r>
            <w:r>
              <w:rPr>
                <w:sz w:val="18"/>
                <w:szCs w:val="18"/>
              </w:rPr>
              <w:t xml:space="preserve"> </w:t>
            </w:r>
          </w:p>
        </w:tc>
        <w:tc>
          <w:tcPr>
            <w:tcW w:w="1575" w:type="dxa"/>
            <w:gridSpan w:val="3"/>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ISO 5725-5 </w:t>
            </w:r>
          </w:p>
        </w:tc>
        <w:tc>
          <w:tcPr>
            <w:tcW w:w="6735"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sidRPr="00AC1147">
              <w:rPr>
                <w:sz w:val="18"/>
                <w:szCs w:val="18"/>
                <w:lang w:val="en-US"/>
              </w:rPr>
              <w:t>Accuracy (trueness and precision) of measurement methods and results - Part 5: Alternative methods for the determination of the precision of a standard measurement method [</w:t>
            </w:r>
            <w:r>
              <w:rPr>
                <w:sz w:val="18"/>
                <w:szCs w:val="18"/>
              </w:rPr>
              <w:t>Точность</w:t>
            </w:r>
            <w:r w:rsidRPr="00AC1147">
              <w:rPr>
                <w:sz w:val="18"/>
                <w:szCs w:val="18"/>
                <w:lang w:val="en-US"/>
              </w:rPr>
              <w:t xml:space="preserve"> (</w:t>
            </w:r>
            <w:r>
              <w:rPr>
                <w:sz w:val="18"/>
                <w:szCs w:val="18"/>
              </w:rPr>
              <w:t>правильность</w:t>
            </w:r>
            <w:r w:rsidRPr="00AC1147">
              <w:rPr>
                <w:sz w:val="18"/>
                <w:szCs w:val="18"/>
                <w:lang w:val="en-US"/>
              </w:rPr>
              <w:t xml:space="preserve"> </w:t>
            </w:r>
            <w:r>
              <w:rPr>
                <w:sz w:val="18"/>
                <w:szCs w:val="18"/>
              </w:rPr>
              <w:t>и</w:t>
            </w:r>
            <w:r w:rsidRPr="00AC1147">
              <w:rPr>
                <w:sz w:val="18"/>
                <w:szCs w:val="18"/>
                <w:lang w:val="en-US"/>
              </w:rPr>
              <w:t xml:space="preserve"> </w:t>
            </w:r>
            <w:proofErr w:type="spellStart"/>
            <w:r>
              <w:rPr>
                <w:sz w:val="18"/>
                <w:szCs w:val="18"/>
              </w:rPr>
              <w:t>прецизионность</w:t>
            </w:r>
            <w:proofErr w:type="spellEnd"/>
            <w:r w:rsidRPr="00AC1147">
              <w:rPr>
                <w:sz w:val="18"/>
                <w:szCs w:val="18"/>
                <w:lang w:val="en-US"/>
              </w:rPr>
              <w:t xml:space="preserve">) </w:t>
            </w:r>
            <w:r>
              <w:rPr>
                <w:sz w:val="18"/>
                <w:szCs w:val="18"/>
              </w:rPr>
              <w:t>методов</w:t>
            </w:r>
            <w:r w:rsidRPr="00AC1147">
              <w:rPr>
                <w:sz w:val="18"/>
                <w:szCs w:val="18"/>
                <w:lang w:val="en-US"/>
              </w:rPr>
              <w:t xml:space="preserve"> </w:t>
            </w:r>
            <w:r>
              <w:rPr>
                <w:sz w:val="18"/>
                <w:szCs w:val="18"/>
              </w:rPr>
              <w:t>и</w:t>
            </w:r>
            <w:r w:rsidRPr="00AC1147">
              <w:rPr>
                <w:sz w:val="18"/>
                <w:szCs w:val="18"/>
                <w:lang w:val="en-US"/>
              </w:rPr>
              <w:t xml:space="preserve"> </w:t>
            </w:r>
            <w:r>
              <w:rPr>
                <w:sz w:val="18"/>
                <w:szCs w:val="18"/>
              </w:rPr>
              <w:t>результатов</w:t>
            </w:r>
            <w:r w:rsidRPr="00AC1147">
              <w:rPr>
                <w:sz w:val="18"/>
                <w:szCs w:val="18"/>
                <w:lang w:val="en-US"/>
              </w:rPr>
              <w:t xml:space="preserve"> </w:t>
            </w:r>
            <w:r>
              <w:rPr>
                <w:sz w:val="18"/>
                <w:szCs w:val="18"/>
              </w:rPr>
              <w:t>измерен</w:t>
            </w:r>
            <w:r>
              <w:rPr>
                <w:sz w:val="18"/>
                <w:szCs w:val="18"/>
              </w:rPr>
              <w:t>ий</w:t>
            </w:r>
            <w:r w:rsidRPr="00AC1147">
              <w:rPr>
                <w:sz w:val="18"/>
                <w:szCs w:val="18"/>
                <w:lang w:val="en-US"/>
              </w:rPr>
              <w:t xml:space="preserve">. </w:t>
            </w:r>
            <w:r>
              <w:rPr>
                <w:sz w:val="18"/>
                <w:szCs w:val="18"/>
              </w:rPr>
              <w:t xml:space="preserve">Часть 5. Альтернативные методы определения </w:t>
            </w:r>
            <w:proofErr w:type="spellStart"/>
            <w:r>
              <w:rPr>
                <w:sz w:val="18"/>
                <w:szCs w:val="18"/>
              </w:rPr>
              <w:t>прецизионности</w:t>
            </w:r>
            <w:proofErr w:type="spellEnd"/>
            <w:r>
              <w:rPr>
                <w:sz w:val="18"/>
                <w:szCs w:val="18"/>
              </w:rPr>
              <w:t>]</w:t>
            </w:r>
          </w:p>
        </w:tc>
      </w:tr>
      <w:tr w:rsidR="00000000">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[6] </w:t>
            </w:r>
          </w:p>
        </w:tc>
        <w:tc>
          <w:tcPr>
            <w:tcW w:w="1575" w:type="dxa"/>
            <w:gridSpan w:val="3"/>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ISO 5725-6 </w:t>
            </w:r>
          </w:p>
        </w:tc>
        <w:tc>
          <w:tcPr>
            <w:tcW w:w="6735"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sidRPr="00AC1147">
              <w:rPr>
                <w:sz w:val="18"/>
                <w:szCs w:val="18"/>
                <w:lang w:val="en-US"/>
              </w:rPr>
              <w:t>Accuracy (trueness and precision) of measurement methods and results - Part 6: Use in practice of accuracy values [</w:t>
            </w:r>
            <w:r>
              <w:rPr>
                <w:sz w:val="18"/>
                <w:szCs w:val="18"/>
              </w:rPr>
              <w:t>Точность</w:t>
            </w:r>
            <w:r w:rsidRPr="00AC1147">
              <w:rPr>
                <w:sz w:val="18"/>
                <w:szCs w:val="18"/>
                <w:lang w:val="en-US"/>
              </w:rPr>
              <w:t xml:space="preserve"> (</w:t>
            </w:r>
            <w:r>
              <w:rPr>
                <w:sz w:val="18"/>
                <w:szCs w:val="18"/>
              </w:rPr>
              <w:t>правильность</w:t>
            </w:r>
            <w:r w:rsidRPr="00AC1147">
              <w:rPr>
                <w:sz w:val="18"/>
                <w:szCs w:val="18"/>
                <w:lang w:val="en-US"/>
              </w:rPr>
              <w:t xml:space="preserve"> </w:t>
            </w:r>
            <w:r>
              <w:rPr>
                <w:sz w:val="18"/>
                <w:szCs w:val="18"/>
              </w:rPr>
              <w:t>и</w:t>
            </w:r>
            <w:r w:rsidRPr="00AC1147">
              <w:rPr>
                <w:sz w:val="18"/>
                <w:szCs w:val="18"/>
                <w:lang w:val="en-US"/>
              </w:rPr>
              <w:t xml:space="preserve"> </w:t>
            </w:r>
            <w:proofErr w:type="spellStart"/>
            <w:r>
              <w:rPr>
                <w:sz w:val="18"/>
                <w:szCs w:val="18"/>
              </w:rPr>
              <w:t>прецизионность</w:t>
            </w:r>
            <w:proofErr w:type="spellEnd"/>
            <w:r w:rsidRPr="00AC1147">
              <w:rPr>
                <w:sz w:val="18"/>
                <w:szCs w:val="18"/>
                <w:lang w:val="en-US"/>
              </w:rPr>
              <w:t xml:space="preserve">) </w:t>
            </w:r>
            <w:r>
              <w:rPr>
                <w:sz w:val="18"/>
                <w:szCs w:val="18"/>
              </w:rPr>
              <w:t>методов</w:t>
            </w:r>
            <w:r w:rsidRPr="00AC1147">
              <w:rPr>
                <w:sz w:val="18"/>
                <w:szCs w:val="18"/>
                <w:lang w:val="en-US"/>
              </w:rPr>
              <w:t xml:space="preserve"> </w:t>
            </w:r>
            <w:r>
              <w:rPr>
                <w:sz w:val="18"/>
                <w:szCs w:val="18"/>
              </w:rPr>
              <w:t>и</w:t>
            </w:r>
            <w:r w:rsidRPr="00AC1147">
              <w:rPr>
                <w:sz w:val="18"/>
                <w:szCs w:val="18"/>
                <w:lang w:val="en-US"/>
              </w:rPr>
              <w:t xml:space="preserve"> </w:t>
            </w:r>
            <w:r>
              <w:rPr>
                <w:sz w:val="18"/>
                <w:szCs w:val="18"/>
              </w:rPr>
              <w:t>результат</w:t>
            </w:r>
            <w:r>
              <w:rPr>
                <w:sz w:val="18"/>
                <w:szCs w:val="18"/>
              </w:rPr>
              <w:t>ов</w:t>
            </w:r>
            <w:r w:rsidRPr="00AC1147">
              <w:rPr>
                <w:sz w:val="18"/>
                <w:szCs w:val="18"/>
                <w:lang w:val="en-US"/>
              </w:rPr>
              <w:t xml:space="preserve"> </w:t>
            </w:r>
            <w:r>
              <w:rPr>
                <w:sz w:val="18"/>
                <w:szCs w:val="18"/>
              </w:rPr>
              <w:t>измерений</w:t>
            </w:r>
            <w:r w:rsidRPr="00AC1147">
              <w:rPr>
                <w:sz w:val="18"/>
                <w:szCs w:val="18"/>
                <w:lang w:val="en-US"/>
              </w:rPr>
              <w:t xml:space="preserve">. </w:t>
            </w:r>
            <w:r>
              <w:rPr>
                <w:sz w:val="18"/>
                <w:szCs w:val="18"/>
              </w:rPr>
              <w:t>Часть 6. Использование значений точности на практике]</w:t>
            </w:r>
          </w:p>
        </w:tc>
      </w:tr>
      <w:tr w:rsidR="00000000">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[7] </w:t>
            </w:r>
          </w:p>
        </w:tc>
        <w:tc>
          <w:tcPr>
            <w:tcW w:w="1575" w:type="dxa"/>
            <w:gridSpan w:val="3"/>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ISO </w:t>
            </w:r>
            <w:proofErr w:type="spellStart"/>
            <w:r>
              <w:rPr>
                <w:sz w:val="18"/>
                <w:szCs w:val="18"/>
              </w:rPr>
              <w:t>Guide</w:t>
            </w:r>
            <w:proofErr w:type="spellEnd"/>
            <w:r>
              <w:rPr>
                <w:sz w:val="18"/>
                <w:szCs w:val="18"/>
              </w:rPr>
              <w:t xml:space="preserve"> 31 </w:t>
            </w:r>
          </w:p>
        </w:tc>
        <w:tc>
          <w:tcPr>
            <w:tcW w:w="6735"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sidRPr="00AC1147">
              <w:rPr>
                <w:sz w:val="18"/>
                <w:szCs w:val="18"/>
                <w:lang w:val="en-US"/>
              </w:rPr>
              <w:t>Reference materials - Contents of certificates and labels [</w:t>
            </w:r>
            <w:r>
              <w:rPr>
                <w:sz w:val="18"/>
                <w:szCs w:val="18"/>
              </w:rPr>
              <w:t>Стандартные</w:t>
            </w:r>
            <w:r w:rsidRPr="00AC1147">
              <w:rPr>
                <w:sz w:val="18"/>
                <w:szCs w:val="18"/>
                <w:lang w:val="en-US"/>
              </w:rPr>
              <w:t xml:space="preserve"> </w:t>
            </w:r>
            <w:r>
              <w:rPr>
                <w:sz w:val="18"/>
                <w:szCs w:val="18"/>
              </w:rPr>
              <w:t>образцы</w:t>
            </w:r>
            <w:r w:rsidRPr="00AC1147">
              <w:rPr>
                <w:sz w:val="18"/>
                <w:szCs w:val="18"/>
                <w:lang w:val="en-US"/>
              </w:rPr>
              <w:t xml:space="preserve">. </w:t>
            </w:r>
            <w:r>
              <w:rPr>
                <w:sz w:val="18"/>
                <w:szCs w:val="18"/>
              </w:rPr>
              <w:t>Содержание сертификатов (паспортов) и этикеток]</w:t>
            </w:r>
          </w:p>
        </w:tc>
      </w:tr>
      <w:tr w:rsidR="00000000" w:rsidRPr="00AC1147">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[8] </w:t>
            </w:r>
          </w:p>
        </w:tc>
        <w:tc>
          <w:tcPr>
            <w:tcW w:w="1575" w:type="dxa"/>
            <w:gridSpan w:val="3"/>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ISO </w:t>
            </w:r>
            <w:proofErr w:type="spellStart"/>
            <w:r>
              <w:rPr>
                <w:sz w:val="18"/>
                <w:szCs w:val="18"/>
              </w:rPr>
              <w:t>Guide</w:t>
            </w:r>
            <w:proofErr w:type="spellEnd"/>
            <w:r>
              <w:rPr>
                <w:sz w:val="18"/>
                <w:szCs w:val="18"/>
              </w:rPr>
              <w:t xml:space="preserve"> 32 </w:t>
            </w:r>
          </w:p>
        </w:tc>
        <w:tc>
          <w:tcPr>
            <w:tcW w:w="6735" w:type="dxa"/>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r w:rsidRPr="00AC1147">
              <w:rPr>
                <w:sz w:val="18"/>
                <w:szCs w:val="18"/>
                <w:lang w:val="en-US"/>
              </w:rPr>
              <w:t>Calibration in analytical chemistry and use of certified reference materials (</w:t>
            </w:r>
            <w:r>
              <w:rPr>
                <w:sz w:val="18"/>
                <w:szCs w:val="18"/>
              </w:rPr>
              <w:t>Калибровка</w:t>
            </w:r>
            <w:r w:rsidRPr="00AC1147">
              <w:rPr>
                <w:sz w:val="18"/>
                <w:szCs w:val="18"/>
                <w:lang w:val="en-US"/>
              </w:rPr>
              <w:t xml:space="preserve"> </w:t>
            </w:r>
            <w:r>
              <w:rPr>
                <w:sz w:val="18"/>
                <w:szCs w:val="18"/>
              </w:rPr>
              <w:t>в</w:t>
            </w:r>
            <w:r w:rsidRPr="00AC1147">
              <w:rPr>
                <w:sz w:val="18"/>
                <w:szCs w:val="18"/>
                <w:lang w:val="en-US"/>
              </w:rPr>
              <w:t xml:space="preserve"> </w:t>
            </w:r>
            <w:r>
              <w:rPr>
                <w:sz w:val="18"/>
                <w:szCs w:val="18"/>
              </w:rPr>
              <w:t>аналитической</w:t>
            </w:r>
            <w:r w:rsidRPr="00AC1147">
              <w:rPr>
                <w:sz w:val="18"/>
                <w:szCs w:val="18"/>
                <w:lang w:val="en-US"/>
              </w:rPr>
              <w:t xml:space="preserve"> </w:t>
            </w:r>
            <w:r>
              <w:rPr>
                <w:sz w:val="18"/>
                <w:szCs w:val="18"/>
              </w:rPr>
              <w:t>химии</w:t>
            </w:r>
            <w:r w:rsidRPr="00AC1147">
              <w:rPr>
                <w:sz w:val="18"/>
                <w:szCs w:val="18"/>
                <w:lang w:val="en-US"/>
              </w:rPr>
              <w:t xml:space="preserve"> </w:t>
            </w:r>
            <w:r>
              <w:rPr>
                <w:sz w:val="18"/>
                <w:szCs w:val="18"/>
              </w:rPr>
              <w:t>и</w:t>
            </w:r>
            <w:r w:rsidRPr="00AC1147">
              <w:rPr>
                <w:sz w:val="18"/>
                <w:szCs w:val="18"/>
                <w:lang w:val="en-US"/>
              </w:rPr>
              <w:t xml:space="preserve"> </w:t>
            </w:r>
            <w:r>
              <w:rPr>
                <w:sz w:val="18"/>
                <w:szCs w:val="18"/>
              </w:rPr>
              <w:t>использование</w:t>
            </w:r>
            <w:r w:rsidRPr="00AC1147">
              <w:rPr>
                <w:sz w:val="18"/>
                <w:szCs w:val="18"/>
                <w:lang w:val="en-US"/>
              </w:rPr>
              <w:t xml:space="preserve"> </w:t>
            </w:r>
            <w:r>
              <w:rPr>
                <w:sz w:val="18"/>
                <w:szCs w:val="18"/>
              </w:rPr>
              <w:t>стандартных</w:t>
            </w:r>
            <w:r w:rsidRPr="00AC1147">
              <w:rPr>
                <w:sz w:val="18"/>
                <w:szCs w:val="18"/>
                <w:lang w:val="en-US"/>
              </w:rPr>
              <w:t xml:space="preserve"> </w:t>
            </w:r>
            <w:r>
              <w:rPr>
                <w:sz w:val="18"/>
                <w:szCs w:val="18"/>
              </w:rPr>
              <w:t>образцов</w:t>
            </w:r>
            <w:r w:rsidRPr="00AC1147">
              <w:rPr>
                <w:sz w:val="18"/>
                <w:szCs w:val="18"/>
                <w:lang w:val="en-US"/>
              </w:rPr>
              <w:t>)</w:t>
            </w:r>
          </w:p>
        </w:tc>
      </w:tr>
      <w:tr w:rsidR="00000000" w:rsidRPr="00AC1147">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[9] </w:t>
            </w:r>
          </w:p>
        </w:tc>
        <w:tc>
          <w:tcPr>
            <w:tcW w:w="1575" w:type="dxa"/>
            <w:gridSpan w:val="3"/>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ISO </w:t>
            </w:r>
            <w:proofErr w:type="spellStart"/>
            <w:r>
              <w:rPr>
                <w:sz w:val="18"/>
                <w:szCs w:val="18"/>
              </w:rPr>
              <w:t>Guide</w:t>
            </w:r>
            <w:proofErr w:type="spellEnd"/>
            <w:r>
              <w:rPr>
                <w:sz w:val="18"/>
                <w:szCs w:val="18"/>
              </w:rPr>
              <w:t xml:space="preserve"> 33 </w:t>
            </w:r>
          </w:p>
        </w:tc>
        <w:tc>
          <w:tcPr>
            <w:tcW w:w="6735" w:type="dxa"/>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r w:rsidRPr="00AC1147">
              <w:rPr>
                <w:sz w:val="18"/>
                <w:szCs w:val="18"/>
                <w:lang w:val="en-US"/>
              </w:rPr>
              <w:t>Uses of certified reference materials (</w:t>
            </w:r>
            <w:r>
              <w:rPr>
                <w:sz w:val="18"/>
                <w:szCs w:val="18"/>
              </w:rPr>
              <w:t>Применение</w:t>
            </w:r>
            <w:r w:rsidRPr="00AC1147">
              <w:rPr>
                <w:sz w:val="18"/>
                <w:szCs w:val="18"/>
                <w:lang w:val="en-US"/>
              </w:rPr>
              <w:t xml:space="preserve"> </w:t>
            </w:r>
            <w:r>
              <w:rPr>
                <w:sz w:val="18"/>
                <w:szCs w:val="18"/>
              </w:rPr>
              <w:t>стандартных</w:t>
            </w:r>
            <w:r w:rsidRPr="00AC1147">
              <w:rPr>
                <w:sz w:val="18"/>
                <w:szCs w:val="18"/>
                <w:lang w:val="en-US"/>
              </w:rPr>
              <w:t xml:space="preserve"> </w:t>
            </w:r>
            <w:r>
              <w:rPr>
                <w:sz w:val="18"/>
                <w:szCs w:val="18"/>
              </w:rPr>
              <w:t>образцов</w:t>
            </w:r>
            <w:r w:rsidRPr="00AC1147">
              <w:rPr>
                <w:sz w:val="18"/>
                <w:szCs w:val="18"/>
                <w:lang w:val="en-US"/>
              </w:rPr>
              <w:t>)</w:t>
            </w:r>
          </w:p>
        </w:tc>
      </w:tr>
      <w:tr w:rsidR="00000000" w:rsidRPr="00AC1147">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[10] </w:t>
            </w:r>
          </w:p>
        </w:tc>
        <w:tc>
          <w:tcPr>
            <w:tcW w:w="1575" w:type="dxa"/>
            <w:gridSpan w:val="3"/>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ISO </w:t>
            </w:r>
            <w:proofErr w:type="spellStart"/>
            <w:r>
              <w:rPr>
                <w:sz w:val="18"/>
                <w:szCs w:val="18"/>
              </w:rPr>
              <w:t>Guid</w:t>
            </w:r>
            <w:r>
              <w:rPr>
                <w:sz w:val="18"/>
                <w:szCs w:val="18"/>
              </w:rPr>
              <w:t>e</w:t>
            </w:r>
            <w:proofErr w:type="spellEnd"/>
            <w:r>
              <w:rPr>
                <w:sz w:val="18"/>
                <w:szCs w:val="18"/>
              </w:rPr>
              <w:t xml:space="preserve"> 34 </w:t>
            </w:r>
          </w:p>
        </w:tc>
        <w:tc>
          <w:tcPr>
            <w:tcW w:w="6735" w:type="dxa"/>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r w:rsidRPr="00AC1147">
              <w:rPr>
                <w:sz w:val="18"/>
                <w:szCs w:val="18"/>
                <w:lang w:val="en-US"/>
              </w:rPr>
              <w:t>General requirements for the competence of reference material producers (</w:t>
            </w:r>
            <w:r>
              <w:rPr>
                <w:sz w:val="18"/>
                <w:szCs w:val="18"/>
              </w:rPr>
              <w:t>Общие</w:t>
            </w:r>
            <w:r w:rsidRPr="00AC1147">
              <w:rPr>
                <w:sz w:val="18"/>
                <w:szCs w:val="18"/>
                <w:lang w:val="en-US"/>
              </w:rPr>
              <w:t xml:space="preserve"> </w:t>
            </w:r>
            <w:r>
              <w:rPr>
                <w:sz w:val="18"/>
                <w:szCs w:val="18"/>
              </w:rPr>
              <w:t>требования</w:t>
            </w:r>
            <w:r w:rsidRPr="00AC1147">
              <w:rPr>
                <w:sz w:val="18"/>
                <w:szCs w:val="18"/>
                <w:lang w:val="en-US"/>
              </w:rPr>
              <w:t xml:space="preserve"> </w:t>
            </w:r>
            <w:r>
              <w:rPr>
                <w:sz w:val="18"/>
                <w:szCs w:val="18"/>
              </w:rPr>
              <w:t>к</w:t>
            </w:r>
            <w:r w:rsidRPr="00AC1147">
              <w:rPr>
                <w:sz w:val="18"/>
                <w:szCs w:val="18"/>
                <w:lang w:val="en-US"/>
              </w:rPr>
              <w:t xml:space="preserve"> </w:t>
            </w:r>
            <w:r>
              <w:rPr>
                <w:sz w:val="18"/>
                <w:szCs w:val="18"/>
              </w:rPr>
              <w:t>компетентности</w:t>
            </w:r>
            <w:r w:rsidRPr="00AC1147">
              <w:rPr>
                <w:sz w:val="18"/>
                <w:szCs w:val="18"/>
                <w:lang w:val="en-US"/>
              </w:rPr>
              <w:t xml:space="preserve"> </w:t>
            </w:r>
            <w:r>
              <w:rPr>
                <w:sz w:val="18"/>
                <w:szCs w:val="18"/>
              </w:rPr>
              <w:t>изготовителей</w:t>
            </w:r>
            <w:r w:rsidRPr="00AC1147">
              <w:rPr>
                <w:sz w:val="18"/>
                <w:szCs w:val="18"/>
                <w:lang w:val="en-US"/>
              </w:rPr>
              <w:t xml:space="preserve"> </w:t>
            </w:r>
            <w:r>
              <w:rPr>
                <w:sz w:val="18"/>
                <w:szCs w:val="18"/>
              </w:rPr>
              <w:t>стандартных</w:t>
            </w:r>
            <w:r w:rsidRPr="00AC1147">
              <w:rPr>
                <w:sz w:val="18"/>
                <w:szCs w:val="18"/>
                <w:lang w:val="en-US"/>
              </w:rPr>
              <w:t xml:space="preserve"> </w:t>
            </w:r>
            <w:r>
              <w:rPr>
                <w:sz w:val="18"/>
                <w:szCs w:val="18"/>
              </w:rPr>
              <w:t>образцов</w:t>
            </w:r>
            <w:r w:rsidRPr="00AC1147">
              <w:rPr>
                <w:sz w:val="18"/>
                <w:szCs w:val="18"/>
                <w:lang w:val="en-US"/>
              </w:rPr>
              <w:t>)</w:t>
            </w:r>
          </w:p>
        </w:tc>
      </w:tr>
      <w:tr w:rsidR="00000000">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[11] </w:t>
            </w:r>
          </w:p>
        </w:tc>
        <w:tc>
          <w:tcPr>
            <w:tcW w:w="8310" w:type="dxa"/>
            <w:gridSpan w:val="4"/>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sidRPr="00AC1147">
              <w:rPr>
                <w:sz w:val="18"/>
                <w:szCs w:val="18"/>
                <w:lang w:val="en-US"/>
              </w:rPr>
              <w:t>European Commission, Guidelines for the production and certification of BCR reference materials - Pa</w:t>
            </w:r>
            <w:r w:rsidRPr="00AC1147">
              <w:rPr>
                <w:sz w:val="18"/>
                <w:szCs w:val="18"/>
                <w:lang w:val="en-US"/>
              </w:rPr>
              <w:t xml:space="preserve">rt A: Guide to proposers of reference materials projects, Doc. </w:t>
            </w:r>
            <w:r>
              <w:rPr>
                <w:sz w:val="18"/>
                <w:szCs w:val="18"/>
              </w:rPr>
              <w:t xml:space="preserve">BCR/01/97, </w:t>
            </w:r>
            <w:proofErr w:type="spellStart"/>
            <w:r>
              <w:rPr>
                <w:sz w:val="18"/>
                <w:szCs w:val="18"/>
              </w:rPr>
              <w:t>Brussels</w:t>
            </w:r>
            <w:proofErr w:type="spellEnd"/>
            <w:r>
              <w:rPr>
                <w:sz w:val="18"/>
                <w:szCs w:val="18"/>
              </w:rPr>
              <w:t xml:space="preserve"> (B), 1 </w:t>
            </w:r>
            <w:proofErr w:type="spellStart"/>
            <w:r>
              <w:rPr>
                <w:sz w:val="18"/>
                <w:szCs w:val="18"/>
              </w:rPr>
              <w:t>September</w:t>
            </w:r>
            <w:proofErr w:type="spellEnd"/>
            <w:r>
              <w:rPr>
                <w:sz w:val="18"/>
                <w:szCs w:val="18"/>
              </w:rPr>
              <w:t xml:space="preserve"> 1997</w:t>
            </w:r>
          </w:p>
        </w:tc>
      </w:tr>
      <w:tr w:rsidR="00000000">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[12] </w:t>
            </w:r>
          </w:p>
        </w:tc>
        <w:tc>
          <w:tcPr>
            <w:tcW w:w="8310" w:type="dxa"/>
            <w:gridSpan w:val="4"/>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sidRPr="00AC1147">
              <w:rPr>
                <w:sz w:val="18"/>
                <w:szCs w:val="18"/>
                <w:lang w:val="en-US"/>
              </w:rPr>
              <w:t xml:space="preserve">European Commission, Guidelines for the production and certification of BCR reference materials, Doc. </w:t>
            </w:r>
            <w:r>
              <w:rPr>
                <w:sz w:val="18"/>
                <w:szCs w:val="18"/>
              </w:rPr>
              <w:t xml:space="preserve">BCR/48/93, </w:t>
            </w:r>
            <w:proofErr w:type="spellStart"/>
            <w:r>
              <w:rPr>
                <w:sz w:val="18"/>
                <w:szCs w:val="18"/>
              </w:rPr>
              <w:t>Brussels</w:t>
            </w:r>
            <w:proofErr w:type="spellEnd"/>
            <w:r>
              <w:rPr>
                <w:sz w:val="18"/>
                <w:szCs w:val="18"/>
              </w:rPr>
              <w:t xml:space="preserve"> (B), 15 </w:t>
            </w:r>
            <w:proofErr w:type="spellStart"/>
            <w:r>
              <w:rPr>
                <w:sz w:val="18"/>
                <w:szCs w:val="18"/>
              </w:rPr>
              <w:t>December</w:t>
            </w:r>
            <w:proofErr w:type="spellEnd"/>
            <w:r>
              <w:rPr>
                <w:sz w:val="18"/>
                <w:szCs w:val="18"/>
              </w:rPr>
              <w:t xml:space="preserve"> 1994</w:t>
            </w:r>
          </w:p>
        </w:tc>
      </w:tr>
      <w:tr w:rsidR="00000000">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[13] </w:t>
            </w:r>
          </w:p>
        </w:tc>
        <w:tc>
          <w:tcPr>
            <w:tcW w:w="8310" w:type="dxa"/>
            <w:gridSpan w:val="4"/>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proofErr w:type="spellStart"/>
            <w:r w:rsidRPr="00AC1147">
              <w:rPr>
                <w:sz w:val="18"/>
                <w:szCs w:val="18"/>
                <w:lang w:val="en-US"/>
              </w:rPr>
              <w:t>Lamberty</w:t>
            </w:r>
            <w:proofErr w:type="spellEnd"/>
            <w:r w:rsidRPr="00AC1147">
              <w:rPr>
                <w:sz w:val="18"/>
                <w:szCs w:val="18"/>
                <w:lang w:val="en-US"/>
              </w:rPr>
              <w:t xml:space="preserve"> A., </w:t>
            </w:r>
            <w:proofErr w:type="spellStart"/>
            <w:r w:rsidRPr="00AC1147">
              <w:rPr>
                <w:sz w:val="18"/>
                <w:szCs w:val="18"/>
                <w:lang w:val="en-US"/>
              </w:rPr>
              <w:t>Schimmel</w:t>
            </w:r>
            <w:proofErr w:type="spellEnd"/>
            <w:r w:rsidRPr="00AC1147">
              <w:rPr>
                <w:sz w:val="18"/>
                <w:szCs w:val="18"/>
                <w:lang w:val="en-US"/>
              </w:rPr>
              <w:t xml:space="preserve"> H., </w:t>
            </w:r>
            <w:proofErr w:type="spellStart"/>
            <w:r w:rsidRPr="00AC1147">
              <w:rPr>
                <w:sz w:val="18"/>
                <w:szCs w:val="18"/>
                <w:lang w:val="en-US"/>
              </w:rPr>
              <w:t>Pauwels</w:t>
            </w:r>
            <w:proofErr w:type="spellEnd"/>
            <w:r w:rsidRPr="00AC1147">
              <w:rPr>
                <w:sz w:val="18"/>
                <w:szCs w:val="18"/>
                <w:lang w:val="en-US"/>
              </w:rPr>
              <w:t xml:space="preserve"> J. The study of the stability of reference materials by isochronous measurements, Fresenius J. Anal. </w:t>
            </w:r>
            <w:proofErr w:type="spellStart"/>
            <w:r>
              <w:rPr>
                <w:sz w:val="18"/>
                <w:szCs w:val="18"/>
              </w:rPr>
              <w:t>Chemistry</w:t>
            </w:r>
            <w:proofErr w:type="spellEnd"/>
            <w:r>
              <w:rPr>
                <w:sz w:val="18"/>
                <w:szCs w:val="18"/>
              </w:rPr>
              <w:t>, 360 (1997), pp.359-361</w:t>
            </w:r>
          </w:p>
        </w:tc>
      </w:tr>
      <w:tr w:rsidR="00000000" w:rsidRPr="00AC1147">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[14] </w:t>
            </w:r>
          </w:p>
        </w:tc>
        <w:tc>
          <w:tcPr>
            <w:tcW w:w="8310" w:type="dxa"/>
            <w:gridSpan w:val="4"/>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r w:rsidRPr="00AC1147">
              <w:rPr>
                <w:sz w:val="18"/>
                <w:szCs w:val="18"/>
                <w:lang w:val="en-US"/>
              </w:rPr>
              <w:t>International Laboratory Accreditation Cooperation, ILAC G12 Guidelines f</w:t>
            </w:r>
            <w:r w:rsidRPr="00AC1147">
              <w:rPr>
                <w:sz w:val="18"/>
                <w:szCs w:val="18"/>
                <w:lang w:val="en-US"/>
              </w:rPr>
              <w:t>or the Requirements for the Competence of Reference Materials Producers, ILAC, 2000</w:t>
            </w:r>
          </w:p>
        </w:tc>
      </w:tr>
      <w:tr w:rsidR="00000000" w:rsidRPr="00AC1147">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[15] </w:t>
            </w:r>
          </w:p>
        </w:tc>
        <w:tc>
          <w:tcPr>
            <w:tcW w:w="8310" w:type="dxa"/>
            <w:gridSpan w:val="4"/>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r w:rsidRPr="00AC1147">
              <w:rPr>
                <w:sz w:val="18"/>
                <w:szCs w:val="18"/>
                <w:lang w:val="en-US"/>
              </w:rPr>
              <w:t xml:space="preserve">Ellison S.L.R, </w:t>
            </w:r>
            <w:proofErr w:type="spellStart"/>
            <w:r w:rsidRPr="00AC1147">
              <w:rPr>
                <w:sz w:val="18"/>
                <w:szCs w:val="18"/>
                <w:lang w:val="en-US"/>
              </w:rPr>
              <w:t>Rosslein</w:t>
            </w:r>
            <w:proofErr w:type="spellEnd"/>
            <w:r w:rsidRPr="00AC1147">
              <w:rPr>
                <w:sz w:val="18"/>
                <w:szCs w:val="18"/>
                <w:lang w:val="en-US"/>
              </w:rPr>
              <w:t xml:space="preserve"> M., Williams A. (eds.). </w:t>
            </w:r>
            <w:proofErr w:type="spellStart"/>
            <w:r w:rsidRPr="00AC1147">
              <w:rPr>
                <w:sz w:val="18"/>
                <w:szCs w:val="18"/>
                <w:lang w:val="en-US"/>
              </w:rPr>
              <w:t>Eurachem</w:t>
            </w:r>
            <w:proofErr w:type="spellEnd"/>
            <w:r w:rsidRPr="00AC1147">
              <w:rPr>
                <w:sz w:val="18"/>
                <w:szCs w:val="18"/>
                <w:lang w:val="en-US"/>
              </w:rPr>
              <w:t>/</w:t>
            </w:r>
            <w:proofErr w:type="spellStart"/>
            <w:r w:rsidRPr="00AC1147">
              <w:rPr>
                <w:sz w:val="18"/>
                <w:szCs w:val="18"/>
                <w:lang w:val="en-US"/>
              </w:rPr>
              <w:t>Citac</w:t>
            </w:r>
            <w:proofErr w:type="spellEnd"/>
            <w:r w:rsidRPr="00AC1147">
              <w:rPr>
                <w:sz w:val="18"/>
                <w:szCs w:val="18"/>
                <w:lang w:val="en-US"/>
              </w:rPr>
              <w:t xml:space="preserve"> Guide - Quantifying uncertainty in analytical measurement, LGC, London 2000</w:t>
            </w:r>
          </w:p>
        </w:tc>
      </w:tr>
      <w:tr w:rsidR="00000000">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[16] </w:t>
            </w:r>
          </w:p>
        </w:tc>
        <w:tc>
          <w:tcPr>
            <w:tcW w:w="8310" w:type="dxa"/>
            <w:gridSpan w:val="4"/>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proofErr w:type="spellStart"/>
            <w:r w:rsidRPr="00AC1147">
              <w:rPr>
                <w:sz w:val="18"/>
                <w:szCs w:val="18"/>
                <w:lang w:val="en-US"/>
              </w:rPr>
              <w:t>Griepink</w:t>
            </w:r>
            <w:proofErr w:type="spellEnd"/>
            <w:r w:rsidRPr="00AC1147">
              <w:rPr>
                <w:sz w:val="18"/>
                <w:szCs w:val="18"/>
                <w:lang w:val="en-US"/>
              </w:rPr>
              <w:t xml:space="preserve"> B., Maier </w:t>
            </w:r>
            <w:r w:rsidRPr="00AC1147">
              <w:rPr>
                <w:sz w:val="18"/>
                <w:szCs w:val="18"/>
                <w:lang w:val="en-US"/>
              </w:rPr>
              <w:t xml:space="preserve">E., </w:t>
            </w:r>
            <w:proofErr w:type="spellStart"/>
            <w:r w:rsidRPr="00AC1147">
              <w:rPr>
                <w:sz w:val="18"/>
                <w:szCs w:val="18"/>
                <w:lang w:val="en-US"/>
              </w:rPr>
              <w:t>Muntau</w:t>
            </w:r>
            <w:proofErr w:type="spellEnd"/>
            <w:r w:rsidRPr="00AC1147">
              <w:rPr>
                <w:sz w:val="18"/>
                <w:szCs w:val="18"/>
                <w:lang w:val="en-US"/>
              </w:rPr>
              <w:t xml:space="preserve"> H., Wells D.E. The certification of the contents of six </w:t>
            </w:r>
            <w:proofErr w:type="spellStart"/>
            <w:r w:rsidRPr="00AC1147">
              <w:rPr>
                <w:sz w:val="18"/>
                <w:szCs w:val="18"/>
                <w:lang w:val="en-US"/>
              </w:rPr>
              <w:t>chlorobipbenyls</w:t>
            </w:r>
            <w:proofErr w:type="spellEnd"/>
            <w:r w:rsidRPr="00AC1147">
              <w:rPr>
                <w:sz w:val="18"/>
                <w:szCs w:val="18"/>
                <w:lang w:val="en-US"/>
              </w:rPr>
              <w:t xml:space="preserve"> (</w:t>
            </w:r>
            <w:proofErr w:type="spellStart"/>
            <w:r w:rsidRPr="00AC1147">
              <w:rPr>
                <w:sz w:val="18"/>
                <w:szCs w:val="18"/>
                <w:lang w:val="en-US"/>
              </w:rPr>
              <w:t>Nos</w:t>
            </w:r>
            <w:proofErr w:type="spellEnd"/>
            <w:r w:rsidRPr="00AC1147">
              <w:rPr>
                <w:sz w:val="18"/>
                <w:szCs w:val="18"/>
                <w:lang w:val="en-US"/>
              </w:rPr>
              <w:t xml:space="preserve"> 28, 52, 101, 118, 153 and 180) in dried sludge. </w:t>
            </w:r>
            <w:r>
              <w:rPr>
                <w:sz w:val="18"/>
                <w:szCs w:val="18"/>
              </w:rPr>
              <w:t xml:space="preserve">CRM 392, EUR 12823 EN, </w:t>
            </w:r>
            <w:proofErr w:type="spellStart"/>
            <w:r>
              <w:rPr>
                <w:sz w:val="18"/>
                <w:szCs w:val="18"/>
              </w:rPr>
              <w:t>Luxemburg</w:t>
            </w:r>
            <w:proofErr w:type="spellEnd"/>
            <w:r>
              <w:rPr>
                <w:sz w:val="18"/>
                <w:szCs w:val="18"/>
              </w:rPr>
              <w:t xml:space="preserve"> 1990</w:t>
            </w:r>
          </w:p>
        </w:tc>
      </w:tr>
      <w:tr w:rsidR="00000000" w:rsidRPr="00AC1147">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[17] </w:t>
            </w:r>
          </w:p>
        </w:tc>
        <w:tc>
          <w:tcPr>
            <w:tcW w:w="8310" w:type="dxa"/>
            <w:gridSpan w:val="4"/>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r w:rsidRPr="00AC1147">
              <w:rPr>
                <w:sz w:val="18"/>
                <w:szCs w:val="18"/>
                <w:lang w:val="en-US"/>
              </w:rPr>
              <w:t>Rice J.A. Mathematical statistics and data analysis, 2nd edition, Duxbury P</w:t>
            </w:r>
            <w:r w:rsidRPr="00AC1147">
              <w:rPr>
                <w:sz w:val="18"/>
                <w:szCs w:val="18"/>
                <w:lang w:val="en-US"/>
              </w:rPr>
              <w:t>ress, Belmont CA, 1995, chapters 3 and 4</w:t>
            </w:r>
          </w:p>
        </w:tc>
      </w:tr>
      <w:tr w:rsidR="00000000">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[18] </w:t>
            </w:r>
          </w:p>
        </w:tc>
        <w:tc>
          <w:tcPr>
            <w:tcW w:w="8310" w:type="dxa"/>
            <w:gridSpan w:val="4"/>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sidRPr="00AC1147">
              <w:rPr>
                <w:sz w:val="18"/>
                <w:szCs w:val="18"/>
                <w:lang w:val="en-US"/>
              </w:rPr>
              <w:t xml:space="preserve">Van der </w:t>
            </w:r>
            <w:proofErr w:type="spellStart"/>
            <w:r w:rsidRPr="00AC1147">
              <w:rPr>
                <w:sz w:val="18"/>
                <w:szCs w:val="18"/>
                <w:lang w:val="en-US"/>
              </w:rPr>
              <w:t>Veen</w:t>
            </w:r>
            <w:proofErr w:type="spellEnd"/>
            <w:r w:rsidRPr="00AC1147">
              <w:rPr>
                <w:sz w:val="18"/>
                <w:szCs w:val="18"/>
                <w:lang w:val="en-US"/>
              </w:rPr>
              <w:t xml:space="preserve"> A.M.H., </w:t>
            </w:r>
            <w:proofErr w:type="spellStart"/>
            <w:r w:rsidRPr="00AC1147">
              <w:rPr>
                <w:sz w:val="18"/>
                <w:szCs w:val="18"/>
                <w:lang w:val="en-US"/>
              </w:rPr>
              <w:t>Linsinger</w:t>
            </w:r>
            <w:proofErr w:type="spellEnd"/>
            <w:r w:rsidRPr="00AC1147">
              <w:rPr>
                <w:sz w:val="18"/>
                <w:szCs w:val="18"/>
                <w:lang w:val="en-US"/>
              </w:rPr>
              <w:t xml:space="preserve"> T.P.J. </w:t>
            </w:r>
            <w:proofErr w:type="spellStart"/>
            <w:r w:rsidRPr="00AC1147">
              <w:rPr>
                <w:sz w:val="18"/>
                <w:szCs w:val="18"/>
                <w:lang w:val="en-US"/>
              </w:rPr>
              <w:t>Lamberty</w:t>
            </w:r>
            <w:proofErr w:type="spellEnd"/>
            <w:r w:rsidRPr="00AC1147">
              <w:rPr>
                <w:sz w:val="18"/>
                <w:szCs w:val="18"/>
                <w:lang w:val="en-US"/>
              </w:rPr>
              <w:t xml:space="preserve"> A., </w:t>
            </w:r>
            <w:proofErr w:type="spellStart"/>
            <w:r w:rsidRPr="00AC1147">
              <w:rPr>
                <w:sz w:val="18"/>
                <w:szCs w:val="18"/>
                <w:lang w:val="en-US"/>
              </w:rPr>
              <w:t>Pauwels</w:t>
            </w:r>
            <w:proofErr w:type="spellEnd"/>
            <w:r w:rsidRPr="00AC1147">
              <w:rPr>
                <w:sz w:val="18"/>
                <w:szCs w:val="18"/>
                <w:lang w:val="en-US"/>
              </w:rPr>
              <w:t xml:space="preserve"> J. Uncertainty calculations in the certification of reference materials. </w:t>
            </w:r>
            <w:r>
              <w:rPr>
                <w:sz w:val="18"/>
                <w:szCs w:val="18"/>
              </w:rPr>
              <w:t xml:space="preserve">4. </w:t>
            </w:r>
            <w:proofErr w:type="spellStart"/>
            <w:r>
              <w:rPr>
                <w:sz w:val="18"/>
                <w:szCs w:val="18"/>
              </w:rPr>
              <w:t>Characterization</w:t>
            </w:r>
            <w:proofErr w:type="spellEnd"/>
            <w:r>
              <w:rPr>
                <w:sz w:val="18"/>
                <w:szCs w:val="18"/>
              </w:rPr>
              <w:t xml:space="preserve"> </w:t>
            </w:r>
            <w:proofErr w:type="spellStart"/>
            <w:r>
              <w:rPr>
                <w:sz w:val="18"/>
                <w:szCs w:val="18"/>
              </w:rPr>
              <w:t>and</w:t>
            </w:r>
            <w:proofErr w:type="spellEnd"/>
            <w:r>
              <w:rPr>
                <w:sz w:val="18"/>
                <w:szCs w:val="18"/>
              </w:rPr>
              <w:t xml:space="preserve"> </w:t>
            </w:r>
            <w:proofErr w:type="spellStart"/>
            <w:r>
              <w:rPr>
                <w:sz w:val="18"/>
                <w:szCs w:val="18"/>
              </w:rPr>
              <w:t>certification</w:t>
            </w:r>
            <w:proofErr w:type="spellEnd"/>
            <w:r>
              <w:rPr>
                <w:sz w:val="18"/>
                <w:szCs w:val="18"/>
              </w:rPr>
              <w:t xml:space="preserve">, </w:t>
            </w:r>
            <w:proofErr w:type="spellStart"/>
            <w:r>
              <w:rPr>
                <w:sz w:val="18"/>
                <w:szCs w:val="18"/>
              </w:rPr>
              <w:t>Accreditation</w:t>
            </w:r>
            <w:proofErr w:type="spellEnd"/>
            <w:r>
              <w:rPr>
                <w:sz w:val="18"/>
                <w:szCs w:val="18"/>
              </w:rPr>
              <w:t xml:space="preserve"> </w:t>
            </w:r>
            <w:proofErr w:type="spellStart"/>
            <w:r>
              <w:rPr>
                <w:sz w:val="18"/>
                <w:szCs w:val="18"/>
              </w:rPr>
              <w:t>and</w:t>
            </w:r>
            <w:proofErr w:type="spellEnd"/>
            <w:r>
              <w:rPr>
                <w:sz w:val="18"/>
                <w:szCs w:val="18"/>
              </w:rPr>
              <w:t xml:space="preserve"> </w:t>
            </w:r>
            <w:proofErr w:type="spellStart"/>
            <w:r>
              <w:rPr>
                <w:sz w:val="18"/>
                <w:szCs w:val="18"/>
              </w:rPr>
              <w:t>Quality</w:t>
            </w:r>
            <w:proofErr w:type="spellEnd"/>
            <w:r>
              <w:rPr>
                <w:sz w:val="18"/>
                <w:szCs w:val="18"/>
              </w:rPr>
              <w:t xml:space="preserve"> </w:t>
            </w:r>
            <w:proofErr w:type="spellStart"/>
            <w:r>
              <w:rPr>
                <w:sz w:val="18"/>
                <w:szCs w:val="18"/>
              </w:rPr>
              <w:t>Assurance</w:t>
            </w:r>
            <w:proofErr w:type="spellEnd"/>
            <w:r>
              <w:rPr>
                <w:sz w:val="18"/>
                <w:szCs w:val="18"/>
              </w:rPr>
              <w:t xml:space="preserve">, </w:t>
            </w:r>
            <w:r>
              <w:rPr>
                <w:sz w:val="18"/>
                <w:szCs w:val="18"/>
              </w:rPr>
              <w:t>6 (2001), pp.290-294</w:t>
            </w:r>
          </w:p>
        </w:tc>
      </w:tr>
      <w:tr w:rsidR="00000000" w:rsidRPr="00AC1147">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[19] </w:t>
            </w:r>
          </w:p>
        </w:tc>
        <w:tc>
          <w:tcPr>
            <w:tcW w:w="8310" w:type="dxa"/>
            <w:gridSpan w:val="4"/>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proofErr w:type="spellStart"/>
            <w:r w:rsidRPr="00AC1147">
              <w:rPr>
                <w:sz w:val="18"/>
                <w:szCs w:val="18"/>
                <w:lang w:val="en-US"/>
              </w:rPr>
              <w:t>Linsinger</w:t>
            </w:r>
            <w:proofErr w:type="spellEnd"/>
            <w:r w:rsidRPr="00AC1147">
              <w:rPr>
                <w:sz w:val="18"/>
                <w:szCs w:val="18"/>
                <w:lang w:val="en-US"/>
              </w:rPr>
              <w:t xml:space="preserve"> T.P.J., </w:t>
            </w:r>
            <w:proofErr w:type="spellStart"/>
            <w:r w:rsidRPr="00AC1147">
              <w:rPr>
                <w:sz w:val="18"/>
                <w:szCs w:val="18"/>
                <w:lang w:val="en-US"/>
              </w:rPr>
              <w:t>Pauwels</w:t>
            </w:r>
            <w:proofErr w:type="spellEnd"/>
            <w:r w:rsidRPr="00AC1147">
              <w:rPr>
                <w:sz w:val="18"/>
                <w:szCs w:val="18"/>
                <w:lang w:val="en-US"/>
              </w:rPr>
              <w:t xml:space="preserve"> J., Van der </w:t>
            </w:r>
            <w:proofErr w:type="spellStart"/>
            <w:r w:rsidRPr="00AC1147">
              <w:rPr>
                <w:sz w:val="18"/>
                <w:szCs w:val="18"/>
                <w:lang w:val="en-US"/>
              </w:rPr>
              <w:t>Veen</w:t>
            </w:r>
            <w:proofErr w:type="spellEnd"/>
            <w:r w:rsidRPr="00AC1147">
              <w:rPr>
                <w:sz w:val="18"/>
                <w:szCs w:val="18"/>
                <w:lang w:val="en-US"/>
              </w:rPr>
              <w:t xml:space="preserve"> A.M.H., </w:t>
            </w:r>
            <w:proofErr w:type="spellStart"/>
            <w:r w:rsidRPr="00AC1147">
              <w:rPr>
                <w:sz w:val="18"/>
                <w:szCs w:val="18"/>
                <w:lang w:val="en-US"/>
              </w:rPr>
              <w:t>Schimmel</w:t>
            </w:r>
            <w:proofErr w:type="spellEnd"/>
            <w:r w:rsidRPr="00AC1147">
              <w:rPr>
                <w:sz w:val="18"/>
                <w:szCs w:val="18"/>
                <w:lang w:val="en-US"/>
              </w:rPr>
              <w:t xml:space="preserve"> H., </w:t>
            </w:r>
            <w:proofErr w:type="spellStart"/>
            <w:r w:rsidRPr="00AC1147">
              <w:rPr>
                <w:sz w:val="18"/>
                <w:szCs w:val="18"/>
                <w:lang w:val="en-US"/>
              </w:rPr>
              <w:t>Lamberty</w:t>
            </w:r>
            <w:proofErr w:type="spellEnd"/>
            <w:r w:rsidRPr="00AC1147">
              <w:rPr>
                <w:sz w:val="18"/>
                <w:szCs w:val="18"/>
                <w:lang w:val="en-US"/>
              </w:rPr>
              <w:t xml:space="preserve"> A. Homogeneity and Stability of Reference Materials, Accreditation and Quality Assurance, 6 (2001), pp.20-25</w:t>
            </w:r>
          </w:p>
        </w:tc>
      </w:tr>
      <w:tr w:rsidR="00000000" w:rsidRPr="00AC1147">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[20] </w:t>
            </w:r>
          </w:p>
        </w:tc>
        <w:tc>
          <w:tcPr>
            <w:tcW w:w="8310" w:type="dxa"/>
            <w:gridSpan w:val="4"/>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r w:rsidRPr="00AC1147">
              <w:rPr>
                <w:sz w:val="18"/>
                <w:szCs w:val="18"/>
                <w:lang w:val="en-US"/>
              </w:rPr>
              <w:t xml:space="preserve">Van der </w:t>
            </w:r>
            <w:proofErr w:type="spellStart"/>
            <w:r w:rsidRPr="00AC1147">
              <w:rPr>
                <w:sz w:val="18"/>
                <w:szCs w:val="18"/>
                <w:lang w:val="en-US"/>
              </w:rPr>
              <w:t>Veen</w:t>
            </w:r>
            <w:proofErr w:type="spellEnd"/>
            <w:r w:rsidRPr="00AC1147">
              <w:rPr>
                <w:sz w:val="18"/>
                <w:szCs w:val="18"/>
                <w:lang w:val="en-US"/>
              </w:rPr>
              <w:t xml:space="preserve"> A.M.H., </w:t>
            </w:r>
            <w:proofErr w:type="spellStart"/>
            <w:r w:rsidRPr="00AC1147">
              <w:rPr>
                <w:sz w:val="18"/>
                <w:szCs w:val="18"/>
                <w:lang w:val="en-US"/>
              </w:rPr>
              <w:t>Pauwels</w:t>
            </w:r>
            <w:proofErr w:type="spellEnd"/>
            <w:r w:rsidRPr="00AC1147">
              <w:rPr>
                <w:sz w:val="18"/>
                <w:szCs w:val="18"/>
                <w:lang w:val="en-US"/>
              </w:rPr>
              <w:t xml:space="preserve"> J. Uncertainty calculations in the certification of reference materials. 1. Principles of analysis of variance, Accreditation and Quality Assurance, 5 (2000), pp.464-469</w:t>
            </w:r>
          </w:p>
        </w:tc>
      </w:tr>
      <w:tr w:rsidR="00000000" w:rsidRPr="00AC1147">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[21] </w:t>
            </w:r>
          </w:p>
        </w:tc>
        <w:tc>
          <w:tcPr>
            <w:tcW w:w="8310" w:type="dxa"/>
            <w:gridSpan w:val="4"/>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proofErr w:type="spellStart"/>
            <w:r w:rsidRPr="00AC1147">
              <w:rPr>
                <w:sz w:val="18"/>
                <w:szCs w:val="18"/>
                <w:lang w:val="en-US"/>
              </w:rPr>
              <w:t>Sokal</w:t>
            </w:r>
            <w:proofErr w:type="spellEnd"/>
            <w:r w:rsidRPr="00AC1147">
              <w:rPr>
                <w:sz w:val="18"/>
                <w:szCs w:val="18"/>
                <w:lang w:val="en-US"/>
              </w:rPr>
              <w:t xml:space="preserve"> R.R., </w:t>
            </w:r>
            <w:proofErr w:type="spellStart"/>
            <w:r w:rsidRPr="00AC1147">
              <w:rPr>
                <w:sz w:val="18"/>
                <w:szCs w:val="18"/>
                <w:lang w:val="en-US"/>
              </w:rPr>
              <w:t>Rohlf</w:t>
            </w:r>
            <w:proofErr w:type="spellEnd"/>
            <w:r w:rsidRPr="00AC1147">
              <w:rPr>
                <w:sz w:val="18"/>
                <w:szCs w:val="18"/>
                <w:lang w:val="en-US"/>
              </w:rPr>
              <w:t xml:space="preserve"> F.J. Biometry, 3rd edition, Free</w:t>
            </w:r>
            <w:r w:rsidRPr="00AC1147">
              <w:rPr>
                <w:sz w:val="18"/>
                <w:szCs w:val="18"/>
                <w:lang w:val="en-US"/>
              </w:rPr>
              <w:t>man, New York 1995</w:t>
            </w:r>
          </w:p>
        </w:tc>
      </w:tr>
      <w:tr w:rsidR="00000000">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lastRenderedPageBreak/>
              <w:t xml:space="preserve">[22] </w:t>
            </w:r>
          </w:p>
        </w:tc>
        <w:tc>
          <w:tcPr>
            <w:tcW w:w="8310" w:type="dxa"/>
            <w:gridSpan w:val="4"/>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sidRPr="00AC1147">
              <w:rPr>
                <w:sz w:val="18"/>
                <w:szCs w:val="18"/>
                <w:lang w:val="en-US"/>
              </w:rPr>
              <w:t xml:space="preserve">Van der </w:t>
            </w:r>
            <w:proofErr w:type="spellStart"/>
            <w:r w:rsidRPr="00AC1147">
              <w:rPr>
                <w:sz w:val="18"/>
                <w:szCs w:val="18"/>
                <w:lang w:val="en-US"/>
              </w:rPr>
              <w:t>Veen</w:t>
            </w:r>
            <w:proofErr w:type="spellEnd"/>
            <w:r w:rsidRPr="00AC1147">
              <w:rPr>
                <w:sz w:val="18"/>
                <w:szCs w:val="18"/>
                <w:lang w:val="en-US"/>
              </w:rPr>
              <w:t xml:space="preserve"> A.M.H., </w:t>
            </w:r>
            <w:proofErr w:type="spellStart"/>
            <w:r w:rsidRPr="00AC1147">
              <w:rPr>
                <w:sz w:val="18"/>
                <w:szCs w:val="18"/>
                <w:lang w:val="en-US"/>
              </w:rPr>
              <w:t>Linsinger</w:t>
            </w:r>
            <w:proofErr w:type="spellEnd"/>
            <w:r w:rsidRPr="00AC1147">
              <w:rPr>
                <w:sz w:val="18"/>
                <w:szCs w:val="18"/>
                <w:lang w:val="en-US"/>
              </w:rPr>
              <w:t xml:space="preserve"> T.P.J, </w:t>
            </w:r>
            <w:proofErr w:type="spellStart"/>
            <w:r w:rsidRPr="00AC1147">
              <w:rPr>
                <w:sz w:val="18"/>
                <w:szCs w:val="18"/>
                <w:lang w:val="en-US"/>
              </w:rPr>
              <w:t>Pauwels</w:t>
            </w:r>
            <w:proofErr w:type="spellEnd"/>
            <w:r w:rsidRPr="00AC1147">
              <w:rPr>
                <w:sz w:val="18"/>
                <w:szCs w:val="18"/>
                <w:lang w:val="en-US"/>
              </w:rPr>
              <w:t xml:space="preserve"> J. Uncertainty calculations in the certification of reference materials. </w:t>
            </w:r>
            <w:r>
              <w:rPr>
                <w:sz w:val="18"/>
                <w:szCs w:val="18"/>
              </w:rPr>
              <w:t xml:space="preserve">2. </w:t>
            </w:r>
            <w:proofErr w:type="spellStart"/>
            <w:r>
              <w:rPr>
                <w:sz w:val="18"/>
                <w:szCs w:val="18"/>
              </w:rPr>
              <w:t>Homogeneity</w:t>
            </w:r>
            <w:proofErr w:type="spellEnd"/>
            <w:r>
              <w:rPr>
                <w:sz w:val="18"/>
                <w:szCs w:val="18"/>
              </w:rPr>
              <w:t xml:space="preserve"> </w:t>
            </w:r>
            <w:proofErr w:type="spellStart"/>
            <w:r>
              <w:rPr>
                <w:sz w:val="18"/>
                <w:szCs w:val="18"/>
              </w:rPr>
              <w:t>study</w:t>
            </w:r>
            <w:proofErr w:type="spellEnd"/>
            <w:r>
              <w:rPr>
                <w:sz w:val="18"/>
                <w:szCs w:val="18"/>
              </w:rPr>
              <w:t xml:space="preserve">, </w:t>
            </w:r>
            <w:proofErr w:type="spellStart"/>
            <w:r>
              <w:rPr>
                <w:sz w:val="18"/>
                <w:szCs w:val="18"/>
              </w:rPr>
              <w:t>Accreditation</w:t>
            </w:r>
            <w:proofErr w:type="spellEnd"/>
            <w:r>
              <w:rPr>
                <w:sz w:val="18"/>
                <w:szCs w:val="18"/>
              </w:rPr>
              <w:t xml:space="preserve"> </w:t>
            </w:r>
            <w:proofErr w:type="spellStart"/>
            <w:r>
              <w:rPr>
                <w:sz w:val="18"/>
                <w:szCs w:val="18"/>
              </w:rPr>
              <w:t>and</w:t>
            </w:r>
            <w:proofErr w:type="spellEnd"/>
            <w:r>
              <w:rPr>
                <w:sz w:val="18"/>
                <w:szCs w:val="18"/>
              </w:rPr>
              <w:t xml:space="preserve"> </w:t>
            </w:r>
            <w:proofErr w:type="spellStart"/>
            <w:r>
              <w:rPr>
                <w:sz w:val="18"/>
                <w:szCs w:val="18"/>
              </w:rPr>
              <w:t>Quality</w:t>
            </w:r>
            <w:proofErr w:type="spellEnd"/>
            <w:r>
              <w:rPr>
                <w:sz w:val="18"/>
                <w:szCs w:val="18"/>
              </w:rPr>
              <w:t xml:space="preserve"> </w:t>
            </w:r>
            <w:proofErr w:type="spellStart"/>
            <w:r>
              <w:rPr>
                <w:sz w:val="18"/>
                <w:szCs w:val="18"/>
              </w:rPr>
              <w:t>Assurance</w:t>
            </w:r>
            <w:proofErr w:type="spellEnd"/>
            <w:r>
              <w:rPr>
                <w:sz w:val="18"/>
                <w:szCs w:val="18"/>
              </w:rPr>
              <w:t>, 6 (2001), pp.26-30</w:t>
            </w:r>
          </w:p>
        </w:tc>
      </w:tr>
      <w:tr w:rsidR="00000000">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[23] </w:t>
            </w:r>
          </w:p>
        </w:tc>
        <w:tc>
          <w:tcPr>
            <w:tcW w:w="8310" w:type="dxa"/>
            <w:gridSpan w:val="4"/>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sidRPr="00AC1147">
              <w:rPr>
                <w:sz w:val="18"/>
                <w:szCs w:val="18"/>
                <w:lang w:val="en-US"/>
              </w:rPr>
              <w:t xml:space="preserve">Van der </w:t>
            </w:r>
            <w:proofErr w:type="spellStart"/>
            <w:r w:rsidRPr="00AC1147">
              <w:rPr>
                <w:sz w:val="18"/>
                <w:szCs w:val="18"/>
                <w:lang w:val="en-US"/>
              </w:rPr>
              <w:t>Veen</w:t>
            </w:r>
            <w:proofErr w:type="spellEnd"/>
            <w:r w:rsidRPr="00AC1147">
              <w:rPr>
                <w:sz w:val="18"/>
                <w:szCs w:val="18"/>
                <w:lang w:val="en-US"/>
              </w:rPr>
              <w:t xml:space="preserve"> A.M.H., </w:t>
            </w:r>
            <w:proofErr w:type="spellStart"/>
            <w:r w:rsidRPr="00AC1147">
              <w:rPr>
                <w:sz w:val="18"/>
                <w:szCs w:val="18"/>
                <w:lang w:val="en-US"/>
              </w:rPr>
              <w:t>Linsi</w:t>
            </w:r>
            <w:r w:rsidRPr="00AC1147">
              <w:rPr>
                <w:sz w:val="18"/>
                <w:szCs w:val="18"/>
                <w:lang w:val="en-US"/>
              </w:rPr>
              <w:t>nger</w:t>
            </w:r>
            <w:proofErr w:type="spellEnd"/>
            <w:r w:rsidRPr="00AC1147">
              <w:rPr>
                <w:sz w:val="18"/>
                <w:szCs w:val="18"/>
                <w:lang w:val="en-US"/>
              </w:rPr>
              <w:t xml:space="preserve"> T.P.J., </w:t>
            </w:r>
            <w:proofErr w:type="spellStart"/>
            <w:r w:rsidRPr="00AC1147">
              <w:rPr>
                <w:sz w:val="18"/>
                <w:szCs w:val="18"/>
                <w:lang w:val="en-US"/>
              </w:rPr>
              <w:t>Lamberty</w:t>
            </w:r>
            <w:proofErr w:type="spellEnd"/>
            <w:r w:rsidRPr="00AC1147">
              <w:rPr>
                <w:sz w:val="18"/>
                <w:szCs w:val="18"/>
                <w:lang w:val="en-US"/>
              </w:rPr>
              <w:t xml:space="preserve"> A., </w:t>
            </w:r>
            <w:proofErr w:type="spellStart"/>
            <w:r w:rsidRPr="00AC1147">
              <w:rPr>
                <w:sz w:val="18"/>
                <w:szCs w:val="18"/>
                <w:lang w:val="en-US"/>
              </w:rPr>
              <w:t>Pauwels</w:t>
            </w:r>
            <w:proofErr w:type="spellEnd"/>
            <w:r w:rsidRPr="00AC1147">
              <w:rPr>
                <w:sz w:val="18"/>
                <w:szCs w:val="18"/>
                <w:lang w:val="en-US"/>
              </w:rPr>
              <w:t xml:space="preserve"> J. Uncertainty calculations in the certification of reference materials. </w:t>
            </w:r>
            <w:r>
              <w:rPr>
                <w:sz w:val="18"/>
                <w:szCs w:val="18"/>
              </w:rPr>
              <w:t xml:space="preserve">3. </w:t>
            </w:r>
            <w:proofErr w:type="spellStart"/>
            <w:r>
              <w:rPr>
                <w:sz w:val="18"/>
                <w:szCs w:val="18"/>
              </w:rPr>
              <w:t>Stability</w:t>
            </w:r>
            <w:proofErr w:type="spellEnd"/>
            <w:r>
              <w:rPr>
                <w:sz w:val="18"/>
                <w:szCs w:val="18"/>
              </w:rPr>
              <w:t xml:space="preserve"> </w:t>
            </w:r>
            <w:proofErr w:type="spellStart"/>
            <w:r>
              <w:rPr>
                <w:sz w:val="18"/>
                <w:szCs w:val="18"/>
              </w:rPr>
              <w:t>study</w:t>
            </w:r>
            <w:proofErr w:type="spellEnd"/>
            <w:r>
              <w:rPr>
                <w:sz w:val="18"/>
                <w:szCs w:val="18"/>
              </w:rPr>
              <w:t xml:space="preserve">, </w:t>
            </w:r>
            <w:proofErr w:type="spellStart"/>
            <w:r>
              <w:rPr>
                <w:sz w:val="18"/>
                <w:szCs w:val="18"/>
              </w:rPr>
              <w:t>Accreditation</w:t>
            </w:r>
            <w:proofErr w:type="spellEnd"/>
            <w:r>
              <w:rPr>
                <w:sz w:val="18"/>
                <w:szCs w:val="18"/>
              </w:rPr>
              <w:t xml:space="preserve"> </w:t>
            </w:r>
            <w:proofErr w:type="spellStart"/>
            <w:r>
              <w:rPr>
                <w:sz w:val="18"/>
                <w:szCs w:val="18"/>
              </w:rPr>
              <w:t>and</w:t>
            </w:r>
            <w:proofErr w:type="spellEnd"/>
            <w:r>
              <w:rPr>
                <w:sz w:val="18"/>
                <w:szCs w:val="18"/>
              </w:rPr>
              <w:t xml:space="preserve"> </w:t>
            </w:r>
            <w:proofErr w:type="spellStart"/>
            <w:r>
              <w:rPr>
                <w:sz w:val="18"/>
                <w:szCs w:val="18"/>
              </w:rPr>
              <w:t>Quality</w:t>
            </w:r>
            <w:proofErr w:type="spellEnd"/>
            <w:r>
              <w:rPr>
                <w:sz w:val="18"/>
                <w:szCs w:val="18"/>
              </w:rPr>
              <w:t xml:space="preserve"> </w:t>
            </w:r>
            <w:proofErr w:type="spellStart"/>
            <w:r>
              <w:rPr>
                <w:sz w:val="18"/>
                <w:szCs w:val="18"/>
              </w:rPr>
              <w:t>Assurance</w:t>
            </w:r>
            <w:proofErr w:type="spellEnd"/>
            <w:r>
              <w:rPr>
                <w:sz w:val="18"/>
                <w:szCs w:val="18"/>
              </w:rPr>
              <w:t>, 6 (2001), pp.257-263</w:t>
            </w:r>
          </w:p>
        </w:tc>
      </w:tr>
      <w:tr w:rsidR="00000000" w:rsidRPr="00AC1147">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[24] </w:t>
            </w:r>
          </w:p>
        </w:tc>
        <w:tc>
          <w:tcPr>
            <w:tcW w:w="8310" w:type="dxa"/>
            <w:gridSpan w:val="4"/>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r w:rsidRPr="00AC1147">
              <w:rPr>
                <w:sz w:val="18"/>
                <w:szCs w:val="18"/>
                <w:lang w:val="en-US"/>
              </w:rPr>
              <w:t xml:space="preserve">Draper N.R., Smith H. Applied regression analysis, 2nd edition, </w:t>
            </w:r>
            <w:r w:rsidRPr="00AC1147">
              <w:rPr>
                <w:sz w:val="18"/>
                <w:szCs w:val="18"/>
                <w:lang w:val="en-US"/>
              </w:rPr>
              <w:t>J. Wiley and Sons, New York, 1981, chapter 1</w:t>
            </w:r>
          </w:p>
        </w:tc>
      </w:tr>
      <w:tr w:rsidR="00000000">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[25] </w:t>
            </w:r>
          </w:p>
        </w:tc>
        <w:tc>
          <w:tcPr>
            <w:tcW w:w="8310" w:type="dxa"/>
            <w:gridSpan w:val="4"/>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proofErr w:type="spellStart"/>
            <w:r w:rsidRPr="00AC1147">
              <w:rPr>
                <w:sz w:val="18"/>
                <w:szCs w:val="18"/>
                <w:lang w:val="en-US"/>
              </w:rPr>
              <w:t>Linsinger</w:t>
            </w:r>
            <w:proofErr w:type="spellEnd"/>
            <w:r w:rsidRPr="00AC1147">
              <w:rPr>
                <w:sz w:val="18"/>
                <w:szCs w:val="18"/>
                <w:lang w:val="en-US"/>
              </w:rPr>
              <w:t xml:space="preserve"> T.P.J., </w:t>
            </w:r>
            <w:proofErr w:type="spellStart"/>
            <w:r w:rsidRPr="00AC1147">
              <w:rPr>
                <w:sz w:val="18"/>
                <w:szCs w:val="18"/>
                <w:lang w:val="en-US"/>
              </w:rPr>
              <w:t>Pauwels</w:t>
            </w:r>
            <w:proofErr w:type="spellEnd"/>
            <w:r w:rsidRPr="00AC1147">
              <w:rPr>
                <w:sz w:val="18"/>
                <w:szCs w:val="18"/>
                <w:lang w:val="en-US"/>
              </w:rPr>
              <w:t xml:space="preserve"> J., </w:t>
            </w:r>
            <w:proofErr w:type="spellStart"/>
            <w:r w:rsidRPr="00AC1147">
              <w:rPr>
                <w:sz w:val="18"/>
                <w:szCs w:val="18"/>
                <w:lang w:val="en-US"/>
              </w:rPr>
              <w:t>Lamberty</w:t>
            </w:r>
            <w:proofErr w:type="spellEnd"/>
            <w:r w:rsidRPr="00AC1147">
              <w:rPr>
                <w:sz w:val="18"/>
                <w:szCs w:val="18"/>
                <w:lang w:val="en-US"/>
              </w:rPr>
              <w:t xml:space="preserve"> A., </w:t>
            </w:r>
            <w:proofErr w:type="spellStart"/>
            <w:r w:rsidRPr="00AC1147">
              <w:rPr>
                <w:sz w:val="18"/>
                <w:szCs w:val="18"/>
                <w:lang w:val="en-US"/>
              </w:rPr>
              <w:t>Schimmel</w:t>
            </w:r>
            <w:proofErr w:type="spellEnd"/>
            <w:r w:rsidRPr="00AC1147">
              <w:rPr>
                <w:sz w:val="18"/>
                <w:szCs w:val="18"/>
                <w:lang w:val="en-US"/>
              </w:rPr>
              <w:t xml:space="preserve"> H., Van der </w:t>
            </w:r>
            <w:proofErr w:type="spellStart"/>
            <w:r w:rsidRPr="00AC1147">
              <w:rPr>
                <w:sz w:val="18"/>
                <w:szCs w:val="18"/>
                <w:lang w:val="en-US"/>
              </w:rPr>
              <w:t>Veen</w:t>
            </w:r>
            <w:proofErr w:type="spellEnd"/>
            <w:r w:rsidRPr="00AC1147">
              <w:rPr>
                <w:sz w:val="18"/>
                <w:szCs w:val="18"/>
                <w:lang w:val="en-US"/>
              </w:rPr>
              <w:t xml:space="preserve"> A.M.H., </w:t>
            </w:r>
            <w:proofErr w:type="spellStart"/>
            <w:r w:rsidRPr="00AC1147">
              <w:rPr>
                <w:sz w:val="18"/>
                <w:szCs w:val="18"/>
                <w:lang w:val="en-US"/>
              </w:rPr>
              <w:t>Siekmann</w:t>
            </w:r>
            <w:proofErr w:type="spellEnd"/>
            <w:r w:rsidRPr="00AC1147">
              <w:rPr>
                <w:sz w:val="18"/>
                <w:szCs w:val="18"/>
                <w:lang w:val="en-US"/>
              </w:rPr>
              <w:t xml:space="preserve"> L. Estimating the uncertainty of stability for matrix CRMs, Fresenius J. Anal. </w:t>
            </w:r>
            <w:proofErr w:type="spellStart"/>
            <w:r>
              <w:rPr>
                <w:sz w:val="18"/>
                <w:szCs w:val="18"/>
              </w:rPr>
              <w:t>Chem</w:t>
            </w:r>
            <w:proofErr w:type="spellEnd"/>
            <w:r>
              <w:rPr>
                <w:sz w:val="18"/>
                <w:szCs w:val="18"/>
              </w:rPr>
              <w:t>., 370 (2001), pp.183-188</w:t>
            </w:r>
          </w:p>
        </w:tc>
      </w:tr>
      <w:tr w:rsidR="00000000" w:rsidRPr="00AC1147">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[26] </w:t>
            </w:r>
          </w:p>
        </w:tc>
        <w:tc>
          <w:tcPr>
            <w:tcW w:w="8310" w:type="dxa"/>
            <w:gridSpan w:val="4"/>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r w:rsidRPr="00AC1147">
              <w:rPr>
                <w:sz w:val="18"/>
                <w:szCs w:val="18"/>
                <w:lang w:val="en-US"/>
              </w:rPr>
              <w:t>Bu</w:t>
            </w:r>
            <w:r w:rsidRPr="00AC1147">
              <w:rPr>
                <w:sz w:val="18"/>
                <w:szCs w:val="18"/>
                <w:lang w:val="en-US"/>
              </w:rPr>
              <w:t xml:space="preserve">ck R.P, </w:t>
            </w:r>
            <w:proofErr w:type="spellStart"/>
            <w:r w:rsidRPr="00AC1147">
              <w:rPr>
                <w:sz w:val="18"/>
                <w:szCs w:val="18"/>
                <w:lang w:val="en-US"/>
              </w:rPr>
              <w:t>Rondini</w:t>
            </w:r>
            <w:proofErr w:type="spellEnd"/>
            <w:r w:rsidRPr="00AC1147">
              <w:rPr>
                <w:sz w:val="18"/>
                <w:szCs w:val="18"/>
                <w:lang w:val="en-US"/>
              </w:rPr>
              <w:t xml:space="preserve"> S., Covington A.K., </w:t>
            </w:r>
            <w:proofErr w:type="spellStart"/>
            <w:r w:rsidRPr="00AC1147">
              <w:rPr>
                <w:sz w:val="18"/>
                <w:szCs w:val="18"/>
                <w:lang w:val="en-US"/>
              </w:rPr>
              <w:t>Baucke</w:t>
            </w:r>
            <w:proofErr w:type="spellEnd"/>
            <w:r w:rsidRPr="00AC1147">
              <w:rPr>
                <w:sz w:val="18"/>
                <w:szCs w:val="18"/>
                <w:lang w:val="en-US"/>
              </w:rPr>
              <w:t xml:space="preserve"> F.G.K., Brett C.M.A., Camoes M.F., Milton M.J.T., </w:t>
            </w:r>
            <w:proofErr w:type="spellStart"/>
            <w:r w:rsidRPr="00AC1147">
              <w:rPr>
                <w:sz w:val="18"/>
                <w:szCs w:val="18"/>
                <w:lang w:val="en-US"/>
              </w:rPr>
              <w:t>Mussini</w:t>
            </w:r>
            <w:proofErr w:type="spellEnd"/>
            <w:r w:rsidRPr="00AC1147">
              <w:rPr>
                <w:sz w:val="18"/>
                <w:szCs w:val="18"/>
                <w:lang w:val="en-US"/>
              </w:rPr>
              <w:t xml:space="preserve"> T., </w:t>
            </w:r>
            <w:proofErr w:type="spellStart"/>
            <w:r w:rsidRPr="00AC1147">
              <w:rPr>
                <w:sz w:val="18"/>
                <w:szCs w:val="18"/>
                <w:lang w:val="en-US"/>
              </w:rPr>
              <w:t>Nau</w:t>
            </w:r>
            <w:proofErr w:type="spellEnd"/>
            <w:r w:rsidRPr="00AC1147">
              <w:rPr>
                <w:sz w:val="18"/>
                <w:szCs w:val="18"/>
                <w:lang w:val="en-US"/>
              </w:rPr>
              <w:t xml:space="preserve">- </w:t>
            </w:r>
            <w:proofErr w:type="spellStart"/>
            <w:r w:rsidRPr="00AC1147">
              <w:rPr>
                <w:sz w:val="18"/>
                <w:szCs w:val="18"/>
                <w:lang w:val="en-US"/>
              </w:rPr>
              <w:t>mann</w:t>
            </w:r>
            <w:proofErr w:type="spellEnd"/>
            <w:r w:rsidRPr="00AC1147">
              <w:rPr>
                <w:sz w:val="18"/>
                <w:szCs w:val="18"/>
                <w:lang w:val="en-US"/>
              </w:rPr>
              <w:t xml:space="preserve"> R., Pratt K.W., Spitzer P, Wilson G.S. Measurement of </w:t>
            </w:r>
            <w:proofErr w:type="spellStart"/>
            <w:r w:rsidRPr="00AC1147">
              <w:rPr>
                <w:sz w:val="18"/>
                <w:szCs w:val="18"/>
                <w:lang w:val="en-US"/>
              </w:rPr>
              <w:t>pH.</w:t>
            </w:r>
            <w:proofErr w:type="spellEnd"/>
            <w:r w:rsidRPr="00AC1147">
              <w:rPr>
                <w:sz w:val="18"/>
                <w:szCs w:val="18"/>
                <w:lang w:val="en-US"/>
              </w:rPr>
              <w:t xml:space="preserve"> Definition, standards and procedures, IUPAC Recommendations 2002, Pure Appl. Chem.,</w:t>
            </w:r>
            <w:r w:rsidRPr="00AC1147">
              <w:rPr>
                <w:sz w:val="18"/>
                <w:szCs w:val="18"/>
                <w:lang w:val="en-US"/>
              </w:rPr>
              <w:t xml:space="preserve"> 74 (2002), pp.2169-2200</w:t>
            </w:r>
          </w:p>
        </w:tc>
      </w:tr>
      <w:tr w:rsidR="00000000" w:rsidRPr="00AC1147">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[27] </w:t>
            </w:r>
          </w:p>
        </w:tc>
        <w:tc>
          <w:tcPr>
            <w:tcW w:w="8310" w:type="dxa"/>
            <w:gridSpan w:val="4"/>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r w:rsidRPr="00AC1147">
              <w:rPr>
                <w:sz w:val="18"/>
                <w:szCs w:val="18"/>
                <w:lang w:val="en-US"/>
              </w:rPr>
              <w:t xml:space="preserve">King B. Metrology and analytical chemistry: bridging the cultural gap, </w:t>
            </w:r>
            <w:proofErr w:type="spellStart"/>
            <w:r w:rsidRPr="00AC1147">
              <w:rPr>
                <w:sz w:val="18"/>
                <w:szCs w:val="18"/>
                <w:lang w:val="en-US"/>
              </w:rPr>
              <w:t>Metrologia</w:t>
            </w:r>
            <w:proofErr w:type="spellEnd"/>
            <w:r w:rsidRPr="00AC1147">
              <w:rPr>
                <w:sz w:val="18"/>
                <w:szCs w:val="18"/>
                <w:lang w:val="en-US"/>
              </w:rPr>
              <w:t>, 34 (1997), pp.41-47</w:t>
            </w:r>
          </w:p>
        </w:tc>
      </w:tr>
      <w:tr w:rsidR="00000000" w:rsidRPr="00AC1147">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[28] </w:t>
            </w:r>
          </w:p>
        </w:tc>
        <w:tc>
          <w:tcPr>
            <w:tcW w:w="8310" w:type="dxa"/>
            <w:gridSpan w:val="4"/>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r w:rsidRPr="00AC1147">
              <w:rPr>
                <w:sz w:val="18"/>
                <w:szCs w:val="18"/>
                <w:lang w:val="en-US"/>
              </w:rPr>
              <w:t>Schiller S.B. Sta</w:t>
            </w:r>
            <w:r w:rsidRPr="00AC1147">
              <w:rPr>
                <w:sz w:val="18"/>
                <w:szCs w:val="18"/>
                <w:lang w:val="en-US"/>
              </w:rPr>
              <w:t>tistical aspects of the certification of chemical batch SRMs, NIST Special Publication 260-125, Gaithersburg MD, July 1996</w:t>
            </w:r>
          </w:p>
        </w:tc>
      </w:tr>
      <w:tr w:rsidR="00000000" w:rsidRPr="00AC1147">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[29] </w:t>
            </w:r>
          </w:p>
        </w:tc>
        <w:tc>
          <w:tcPr>
            <w:tcW w:w="8310" w:type="dxa"/>
            <w:gridSpan w:val="4"/>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r w:rsidRPr="00AC1147">
              <w:rPr>
                <w:sz w:val="18"/>
                <w:szCs w:val="18"/>
                <w:lang w:val="en-US"/>
              </w:rPr>
              <w:t xml:space="preserve">Minutes from the fifth meeting (February 1998) of the Consultative Committee on the Quantity of Material (CCQM) of the Bureau </w:t>
            </w:r>
            <w:r w:rsidRPr="00AC1147">
              <w:rPr>
                <w:sz w:val="18"/>
                <w:szCs w:val="18"/>
                <w:lang w:val="en-US"/>
              </w:rPr>
              <w:t xml:space="preserve">International des </w:t>
            </w:r>
            <w:proofErr w:type="spellStart"/>
            <w:r w:rsidRPr="00AC1147">
              <w:rPr>
                <w:sz w:val="18"/>
                <w:szCs w:val="18"/>
                <w:lang w:val="en-US"/>
              </w:rPr>
              <w:t>Poids</w:t>
            </w:r>
            <w:proofErr w:type="spellEnd"/>
            <w:r w:rsidRPr="00AC1147">
              <w:rPr>
                <w:sz w:val="18"/>
                <w:szCs w:val="18"/>
                <w:lang w:val="en-US"/>
              </w:rPr>
              <w:t xml:space="preserve"> et </w:t>
            </w:r>
            <w:proofErr w:type="spellStart"/>
            <w:r w:rsidRPr="00AC1147">
              <w:rPr>
                <w:sz w:val="18"/>
                <w:szCs w:val="18"/>
                <w:lang w:val="en-US"/>
              </w:rPr>
              <w:t>Mesures</w:t>
            </w:r>
            <w:proofErr w:type="spellEnd"/>
            <w:r w:rsidRPr="00AC1147">
              <w:rPr>
                <w:sz w:val="18"/>
                <w:szCs w:val="18"/>
                <w:lang w:val="en-US"/>
              </w:rPr>
              <w:t xml:space="preserve"> (BIPM), Sevres, France (1988)</w:t>
            </w:r>
          </w:p>
        </w:tc>
      </w:tr>
      <w:tr w:rsidR="00000000" w:rsidRPr="00AC1147">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[30] </w:t>
            </w:r>
          </w:p>
        </w:tc>
        <w:tc>
          <w:tcPr>
            <w:tcW w:w="8310" w:type="dxa"/>
            <w:gridSpan w:val="4"/>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r w:rsidRPr="00AC1147">
              <w:rPr>
                <w:sz w:val="18"/>
                <w:szCs w:val="18"/>
                <w:lang w:val="en-US"/>
              </w:rPr>
              <w:t xml:space="preserve">May W., Parris R., Beck C., </w:t>
            </w:r>
            <w:proofErr w:type="spellStart"/>
            <w:r w:rsidRPr="00AC1147">
              <w:rPr>
                <w:sz w:val="18"/>
                <w:szCs w:val="18"/>
                <w:lang w:val="en-US"/>
              </w:rPr>
              <w:t>Fassett</w:t>
            </w:r>
            <w:proofErr w:type="spellEnd"/>
            <w:r w:rsidRPr="00AC1147">
              <w:rPr>
                <w:sz w:val="18"/>
                <w:szCs w:val="18"/>
                <w:lang w:val="en-US"/>
              </w:rPr>
              <w:t xml:space="preserve"> J., Greenberg R., Guenther F., Kramer G., Wise S., Gills T., Colbert J., </w:t>
            </w:r>
            <w:proofErr w:type="spellStart"/>
            <w:r w:rsidRPr="00AC1147">
              <w:rPr>
                <w:sz w:val="18"/>
                <w:szCs w:val="18"/>
                <w:lang w:val="en-US"/>
              </w:rPr>
              <w:t>Gettings</w:t>
            </w:r>
            <w:proofErr w:type="spellEnd"/>
            <w:r w:rsidRPr="00AC1147">
              <w:rPr>
                <w:sz w:val="18"/>
                <w:szCs w:val="18"/>
                <w:lang w:val="en-US"/>
              </w:rPr>
              <w:t xml:space="preserve"> R., MacDonald B. Definition and terms and modes used at NIST for </w:t>
            </w:r>
            <w:proofErr w:type="spellStart"/>
            <w:r w:rsidRPr="00AC1147">
              <w:rPr>
                <w:sz w:val="18"/>
                <w:szCs w:val="18"/>
                <w:lang w:val="en-US"/>
              </w:rPr>
              <w:t>v</w:t>
            </w:r>
            <w:r w:rsidRPr="00AC1147">
              <w:rPr>
                <w:sz w:val="18"/>
                <w:szCs w:val="18"/>
                <w:lang w:val="en-US"/>
              </w:rPr>
              <w:t>alueassignment</w:t>
            </w:r>
            <w:proofErr w:type="spellEnd"/>
            <w:r w:rsidRPr="00AC1147">
              <w:rPr>
                <w:sz w:val="18"/>
                <w:szCs w:val="18"/>
                <w:lang w:val="en-US"/>
              </w:rPr>
              <w:t xml:space="preserve"> of reference materials for chemical measurements, NIST Special Publication 260-136, Gaithersburg MD, January 2000</w:t>
            </w:r>
          </w:p>
        </w:tc>
      </w:tr>
      <w:tr w:rsidR="00000000" w:rsidRPr="00AC1147">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[31] </w:t>
            </w:r>
          </w:p>
        </w:tc>
        <w:tc>
          <w:tcPr>
            <w:tcW w:w="8310" w:type="dxa"/>
            <w:gridSpan w:val="4"/>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proofErr w:type="spellStart"/>
            <w:r w:rsidRPr="00AC1147">
              <w:rPr>
                <w:sz w:val="18"/>
                <w:szCs w:val="18"/>
                <w:lang w:val="en-US"/>
              </w:rPr>
              <w:t>Kaarls</w:t>
            </w:r>
            <w:proofErr w:type="spellEnd"/>
            <w:r w:rsidRPr="00AC1147">
              <w:rPr>
                <w:sz w:val="18"/>
                <w:szCs w:val="18"/>
                <w:lang w:val="en-US"/>
              </w:rPr>
              <w:t xml:space="preserve"> R., Quinn T.J. The </w:t>
            </w:r>
            <w:proofErr w:type="spellStart"/>
            <w:r w:rsidRPr="00AC1147">
              <w:rPr>
                <w:sz w:val="18"/>
                <w:szCs w:val="18"/>
                <w:lang w:val="en-US"/>
              </w:rPr>
              <w:t>Comite</w:t>
            </w:r>
            <w:proofErr w:type="spellEnd"/>
            <w:r w:rsidRPr="00AC1147">
              <w:rPr>
                <w:sz w:val="18"/>
                <w:szCs w:val="18"/>
                <w:lang w:val="en-US"/>
              </w:rPr>
              <w:t xml:space="preserve"> </w:t>
            </w:r>
            <w:proofErr w:type="spellStart"/>
            <w:r w:rsidRPr="00AC1147">
              <w:rPr>
                <w:sz w:val="18"/>
                <w:szCs w:val="18"/>
                <w:lang w:val="en-US"/>
              </w:rPr>
              <w:t>Consultatif</w:t>
            </w:r>
            <w:proofErr w:type="spellEnd"/>
            <w:r w:rsidRPr="00AC1147">
              <w:rPr>
                <w:sz w:val="18"/>
                <w:szCs w:val="18"/>
                <w:lang w:val="en-US"/>
              </w:rPr>
              <w:t xml:space="preserve"> pour la </w:t>
            </w:r>
            <w:proofErr w:type="spellStart"/>
            <w:r w:rsidRPr="00AC1147">
              <w:rPr>
                <w:sz w:val="18"/>
                <w:szCs w:val="18"/>
                <w:lang w:val="en-US"/>
              </w:rPr>
              <w:t>Quantite</w:t>
            </w:r>
            <w:proofErr w:type="spellEnd"/>
            <w:r w:rsidRPr="00AC1147">
              <w:rPr>
                <w:sz w:val="18"/>
                <w:szCs w:val="18"/>
                <w:lang w:val="en-US"/>
              </w:rPr>
              <w:t xml:space="preserve"> de </w:t>
            </w:r>
            <w:proofErr w:type="spellStart"/>
            <w:r w:rsidRPr="00AC1147">
              <w:rPr>
                <w:sz w:val="18"/>
                <w:szCs w:val="18"/>
                <w:lang w:val="en-US"/>
              </w:rPr>
              <w:t>Matiere</w:t>
            </w:r>
            <w:proofErr w:type="spellEnd"/>
            <w:r w:rsidRPr="00AC1147">
              <w:rPr>
                <w:sz w:val="18"/>
                <w:szCs w:val="18"/>
                <w:lang w:val="en-US"/>
              </w:rPr>
              <w:t>: a brief review of its origin and present activ</w:t>
            </w:r>
            <w:r w:rsidRPr="00AC1147">
              <w:rPr>
                <w:sz w:val="18"/>
                <w:szCs w:val="18"/>
                <w:lang w:val="en-US"/>
              </w:rPr>
              <w:t xml:space="preserve">ities, </w:t>
            </w:r>
            <w:proofErr w:type="spellStart"/>
            <w:r w:rsidRPr="00AC1147">
              <w:rPr>
                <w:sz w:val="18"/>
                <w:szCs w:val="18"/>
                <w:lang w:val="en-US"/>
              </w:rPr>
              <w:t>Metrologia</w:t>
            </w:r>
            <w:proofErr w:type="spellEnd"/>
            <w:r w:rsidRPr="00AC1147">
              <w:rPr>
                <w:sz w:val="18"/>
                <w:szCs w:val="18"/>
                <w:lang w:val="en-US"/>
              </w:rPr>
              <w:t>, 34 (1997), pp.1-5</w:t>
            </w:r>
          </w:p>
        </w:tc>
      </w:tr>
      <w:tr w:rsidR="00000000">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[32] </w:t>
            </w:r>
          </w:p>
        </w:tc>
        <w:tc>
          <w:tcPr>
            <w:tcW w:w="8310" w:type="dxa"/>
            <w:gridSpan w:val="4"/>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proofErr w:type="spellStart"/>
            <w:r w:rsidRPr="00AC1147">
              <w:rPr>
                <w:sz w:val="18"/>
                <w:szCs w:val="18"/>
                <w:lang w:val="en-US"/>
              </w:rPr>
              <w:t>Alink</w:t>
            </w:r>
            <w:proofErr w:type="spellEnd"/>
            <w:r w:rsidRPr="00AC1147">
              <w:rPr>
                <w:sz w:val="18"/>
                <w:szCs w:val="18"/>
                <w:lang w:val="en-US"/>
              </w:rPr>
              <w:t xml:space="preserve"> A., Van der </w:t>
            </w:r>
            <w:proofErr w:type="spellStart"/>
            <w:r w:rsidRPr="00AC1147">
              <w:rPr>
                <w:sz w:val="18"/>
                <w:szCs w:val="18"/>
                <w:lang w:val="en-US"/>
              </w:rPr>
              <w:t>Veen</w:t>
            </w:r>
            <w:proofErr w:type="spellEnd"/>
            <w:r w:rsidRPr="00AC1147">
              <w:rPr>
                <w:sz w:val="18"/>
                <w:szCs w:val="18"/>
                <w:lang w:val="en-US"/>
              </w:rPr>
              <w:t xml:space="preserve"> A.M.H. Uncertainty calculations for the preparation of primary gas mixtures. </w:t>
            </w:r>
            <w:proofErr w:type="spellStart"/>
            <w:r>
              <w:rPr>
                <w:sz w:val="18"/>
                <w:szCs w:val="18"/>
              </w:rPr>
              <w:t>Gravimetry</w:t>
            </w:r>
            <w:proofErr w:type="spellEnd"/>
            <w:r>
              <w:rPr>
                <w:sz w:val="18"/>
                <w:szCs w:val="18"/>
              </w:rPr>
              <w:t xml:space="preserve">, </w:t>
            </w:r>
            <w:proofErr w:type="spellStart"/>
            <w:r>
              <w:rPr>
                <w:sz w:val="18"/>
                <w:szCs w:val="18"/>
              </w:rPr>
              <w:t>Metrologia</w:t>
            </w:r>
            <w:proofErr w:type="spellEnd"/>
            <w:r>
              <w:rPr>
                <w:sz w:val="18"/>
                <w:szCs w:val="18"/>
              </w:rPr>
              <w:t>, 37 (2000), pp.641-650</w:t>
            </w:r>
          </w:p>
        </w:tc>
      </w:tr>
      <w:tr w:rsidR="00000000" w:rsidRPr="00AC1147">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[33] </w:t>
            </w:r>
          </w:p>
        </w:tc>
        <w:tc>
          <w:tcPr>
            <w:tcW w:w="8310" w:type="dxa"/>
            <w:gridSpan w:val="4"/>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r w:rsidRPr="00AC1147">
              <w:rPr>
                <w:sz w:val="18"/>
                <w:szCs w:val="18"/>
                <w:lang w:val="en-US"/>
              </w:rPr>
              <w:t xml:space="preserve">Blaine R.L., </w:t>
            </w:r>
            <w:proofErr w:type="spellStart"/>
            <w:r w:rsidRPr="00AC1147">
              <w:rPr>
                <w:sz w:val="18"/>
                <w:szCs w:val="18"/>
                <w:lang w:val="en-US"/>
              </w:rPr>
              <w:t>Schoff</w:t>
            </w:r>
            <w:proofErr w:type="spellEnd"/>
            <w:r w:rsidRPr="00AC1147">
              <w:rPr>
                <w:sz w:val="18"/>
                <w:szCs w:val="18"/>
                <w:lang w:val="en-US"/>
              </w:rPr>
              <w:t xml:space="preserve"> C.K. (eds.). Purity Determinations by T</w:t>
            </w:r>
            <w:r w:rsidRPr="00AC1147">
              <w:rPr>
                <w:sz w:val="18"/>
                <w:szCs w:val="18"/>
                <w:lang w:val="en-US"/>
              </w:rPr>
              <w:t>hermal Methods, ASTM STP 838, ASTM, Philadelphia, 1984</w:t>
            </w:r>
          </w:p>
        </w:tc>
      </w:tr>
      <w:tr w:rsidR="00000000" w:rsidRPr="00AC1147">
        <w:tblPrEx>
          <w:tblCellMar>
            <w:top w:w="0" w:type="dxa"/>
            <w:bottom w:w="0" w:type="dxa"/>
          </w:tblCellMar>
        </w:tblPrEx>
        <w:tc>
          <w:tcPr>
            <w:tcW w:w="840"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[34] </w:t>
            </w:r>
          </w:p>
        </w:tc>
        <w:tc>
          <w:tcPr>
            <w:tcW w:w="8310" w:type="dxa"/>
            <w:gridSpan w:val="4"/>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proofErr w:type="spellStart"/>
            <w:r w:rsidRPr="00AC1147">
              <w:rPr>
                <w:sz w:val="18"/>
                <w:szCs w:val="18"/>
                <w:lang w:val="en-US"/>
              </w:rPr>
              <w:t>Pauwels</w:t>
            </w:r>
            <w:proofErr w:type="spellEnd"/>
            <w:r w:rsidRPr="00AC1147">
              <w:rPr>
                <w:sz w:val="18"/>
                <w:szCs w:val="18"/>
                <w:lang w:val="en-US"/>
              </w:rPr>
              <w:t xml:space="preserve"> J., </w:t>
            </w:r>
            <w:proofErr w:type="spellStart"/>
            <w:r w:rsidRPr="00AC1147">
              <w:rPr>
                <w:sz w:val="18"/>
                <w:szCs w:val="18"/>
                <w:lang w:val="en-US"/>
              </w:rPr>
              <w:t>Lamberty</w:t>
            </w:r>
            <w:proofErr w:type="spellEnd"/>
            <w:r w:rsidRPr="00AC1147">
              <w:rPr>
                <w:sz w:val="18"/>
                <w:szCs w:val="18"/>
                <w:lang w:val="en-US"/>
              </w:rPr>
              <w:t xml:space="preserve"> A., </w:t>
            </w:r>
            <w:proofErr w:type="spellStart"/>
            <w:r w:rsidRPr="00AC1147">
              <w:rPr>
                <w:sz w:val="18"/>
                <w:szCs w:val="18"/>
                <w:lang w:val="en-US"/>
              </w:rPr>
              <w:t>Schimmel</w:t>
            </w:r>
            <w:proofErr w:type="spellEnd"/>
            <w:r w:rsidRPr="00AC1147">
              <w:rPr>
                <w:sz w:val="18"/>
                <w:szCs w:val="18"/>
                <w:lang w:val="en-US"/>
              </w:rPr>
              <w:t xml:space="preserve"> H. The determination of the uncertainty of reference materials certified by laboratory </w:t>
            </w:r>
            <w:proofErr w:type="spellStart"/>
            <w:r w:rsidRPr="00AC1147">
              <w:rPr>
                <w:sz w:val="18"/>
                <w:szCs w:val="18"/>
                <w:lang w:val="en-US"/>
              </w:rPr>
              <w:t>intercomparison</w:t>
            </w:r>
            <w:proofErr w:type="spellEnd"/>
            <w:r w:rsidRPr="00AC1147">
              <w:rPr>
                <w:sz w:val="18"/>
                <w:szCs w:val="18"/>
                <w:lang w:val="en-US"/>
              </w:rPr>
              <w:t>, Accreditation and Quality Assurance, 3 (1998), pp.180-184</w:t>
            </w:r>
          </w:p>
        </w:tc>
      </w:tr>
      <w:tr w:rsidR="00000000">
        <w:tblPrEx>
          <w:tblCellMar>
            <w:top w:w="0" w:type="dxa"/>
            <w:bottom w:w="0" w:type="dxa"/>
          </w:tblCellMar>
        </w:tblPrEx>
        <w:tc>
          <w:tcPr>
            <w:tcW w:w="855" w:type="dxa"/>
            <w:gridSpan w:val="2"/>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[35] </w:t>
            </w:r>
          </w:p>
        </w:tc>
        <w:tc>
          <w:tcPr>
            <w:tcW w:w="1560" w:type="dxa"/>
            <w:gridSpan w:val="2"/>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ISO 6142:2001 </w:t>
            </w:r>
          </w:p>
        </w:tc>
        <w:tc>
          <w:tcPr>
            <w:tcW w:w="6735"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sidRPr="00AC1147">
              <w:rPr>
                <w:sz w:val="18"/>
                <w:szCs w:val="18"/>
                <w:lang w:val="en-US"/>
              </w:rPr>
              <w:t>Gas analysis - Preparation of calibrat</w:t>
            </w:r>
            <w:r w:rsidRPr="00AC1147">
              <w:rPr>
                <w:sz w:val="18"/>
                <w:szCs w:val="18"/>
                <w:lang w:val="en-US"/>
              </w:rPr>
              <w:t>ion gas mixtures - Gravimetric method (</w:t>
            </w:r>
            <w:r>
              <w:rPr>
                <w:sz w:val="18"/>
                <w:szCs w:val="18"/>
              </w:rPr>
              <w:t>Газовый</w:t>
            </w:r>
            <w:r w:rsidRPr="00AC1147">
              <w:rPr>
                <w:sz w:val="18"/>
                <w:szCs w:val="18"/>
                <w:lang w:val="en-US"/>
              </w:rPr>
              <w:t xml:space="preserve"> </w:t>
            </w:r>
            <w:r>
              <w:rPr>
                <w:sz w:val="18"/>
                <w:szCs w:val="18"/>
              </w:rPr>
              <w:t>анализ</w:t>
            </w:r>
            <w:r w:rsidRPr="00AC1147">
              <w:rPr>
                <w:sz w:val="18"/>
                <w:szCs w:val="18"/>
                <w:lang w:val="en-US"/>
              </w:rPr>
              <w:t xml:space="preserve">. </w:t>
            </w:r>
            <w:r>
              <w:rPr>
                <w:sz w:val="18"/>
                <w:szCs w:val="18"/>
              </w:rPr>
              <w:t>Приготовление калибровочных газовых смесей. Гравиметрический метод стандартного метода измерений)</w:t>
            </w:r>
          </w:p>
        </w:tc>
      </w:tr>
      <w:tr w:rsidR="00000000" w:rsidRPr="00AC1147">
        <w:tblPrEx>
          <w:tblCellMar>
            <w:top w:w="0" w:type="dxa"/>
            <w:bottom w:w="0" w:type="dxa"/>
          </w:tblCellMar>
        </w:tblPrEx>
        <w:tc>
          <w:tcPr>
            <w:tcW w:w="855" w:type="dxa"/>
            <w:gridSpan w:val="2"/>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[36] </w:t>
            </w:r>
          </w:p>
        </w:tc>
        <w:tc>
          <w:tcPr>
            <w:tcW w:w="8295" w:type="dxa"/>
            <w:gridSpan w:val="3"/>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r w:rsidRPr="00AC1147">
              <w:rPr>
                <w:sz w:val="18"/>
                <w:szCs w:val="18"/>
                <w:lang w:val="en-US"/>
              </w:rPr>
              <w:t xml:space="preserve">Guenther F.R., </w:t>
            </w:r>
            <w:proofErr w:type="spellStart"/>
            <w:r w:rsidRPr="00AC1147">
              <w:rPr>
                <w:sz w:val="18"/>
                <w:szCs w:val="18"/>
                <w:lang w:val="en-US"/>
              </w:rPr>
              <w:t>Dorko</w:t>
            </w:r>
            <w:proofErr w:type="spellEnd"/>
            <w:r w:rsidRPr="00AC1147">
              <w:rPr>
                <w:sz w:val="18"/>
                <w:szCs w:val="18"/>
                <w:lang w:val="en-US"/>
              </w:rPr>
              <w:t xml:space="preserve"> W.D., Miller W.R., </w:t>
            </w:r>
            <w:proofErr w:type="spellStart"/>
            <w:r w:rsidRPr="00AC1147">
              <w:rPr>
                <w:sz w:val="18"/>
                <w:szCs w:val="18"/>
                <w:lang w:val="en-US"/>
              </w:rPr>
              <w:t>Rhoderick</w:t>
            </w:r>
            <w:proofErr w:type="spellEnd"/>
            <w:r w:rsidRPr="00AC1147">
              <w:rPr>
                <w:sz w:val="18"/>
                <w:szCs w:val="18"/>
                <w:lang w:val="en-US"/>
              </w:rPr>
              <w:t xml:space="preserve"> G.C. The NIST Traceable Reference Material Pro</w:t>
            </w:r>
            <w:r w:rsidRPr="00AC1147">
              <w:rPr>
                <w:sz w:val="18"/>
                <w:szCs w:val="18"/>
                <w:lang w:val="en-US"/>
              </w:rPr>
              <w:t>gram for gas standards, NIST Special Publication 260-126, Gaithersburg MD, July 1996</w:t>
            </w:r>
          </w:p>
        </w:tc>
      </w:tr>
      <w:tr w:rsidR="00000000">
        <w:tblPrEx>
          <w:tblCellMar>
            <w:top w:w="0" w:type="dxa"/>
            <w:bottom w:w="0" w:type="dxa"/>
          </w:tblCellMar>
        </w:tblPrEx>
        <w:tc>
          <w:tcPr>
            <w:tcW w:w="855" w:type="dxa"/>
            <w:gridSpan w:val="2"/>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[37] </w:t>
            </w:r>
          </w:p>
        </w:tc>
        <w:tc>
          <w:tcPr>
            <w:tcW w:w="1560" w:type="dxa"/>
            <w:gridSpan w:val="2"/>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ISO 6143:2001 </w:t>
            </w:r>
          </w:p>
        </w:tc>
        <w:tc>
          <w:tcPr>
            <w:tcW w:w="6735" w:type="dxa"/>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sidRPr="00AC1147">
              <w:rPr>
                <w:sz w:val="18"/>
                <w:szCs w:val="18"/>
                <w:lang w:val="en-US"/>
              </w:rPr>
              <w:t>Gas analysis - Comparison methods for determining and checking the composition of calibration gas mixtures - Comparison methods (</w:t>
            </w:r>
            <w:r>
              <w:rPr>
                <w:sz w:val="18"/>
                <w:szCs w:val="18"/>
              </w:rPr>
              <w:t>Газовый</w:t>
            </w:r>
            <w:r w:rsidRPr="00AC1147">
              <w:rPr>
                <w:sz w:val="18"/>
                <w:szCs w:val="18"/>
                <w:lang w:val="en-US"/>
              </w:rPr>
              <w:t xml:space="preserve"> </w:t>
            </w:r>
            <w:r>
              <w:rPr>
                <w:sz w:val="18"/>
                <w:szCs w:val="18"/>
              </w:rPr>
              <w:t>анализ</w:t>
            </w:r>
            <w:r w:rsidRPr="00AC1147">
              <w:rPr>
                <w:sz w:val="18"/>
                <w:szCs w:val="18"/>
                <w:lang w:val="en-US"/>
              </w:rPr>
              <w:t xml:space="preserve">. </w:t>
            </w:r>
            <w:r>
              <w:rPr>
                <w:sz w:val="18"/>
                <w:szCs w:val="18"/>
              </w:rPr>
              <w:t>Мето</w:t>
            </w:r>
            <w:r>
              <w:rPr>
                <w:sz w:val="18"/>
                <w:szCs w:val="18"/>
              </w:rPr>
              <w:t>ды сравнения для определения и контроля состава калибровочных газовых смесей. Методы сравнения)</w:t>
            </w:r>
          </w:p>
        </w:tc>
      </w:tr>
      <w:tr w:rsidR="00000000" w:rsidRPr="00AC1147">
        <w:tblPrEx>
          <w:tblCellMar>
            <w:top w:w="0" w:type="dxa"/>
            <w:bottom w:w="0" w:type="dxa"/>
          </w:tblCellMar>
        </w:tblPrEx>
        <w:tc>
          <w:tcPr>
            <w:tcW w:w="855" w:type="dxa"/>
            <w:gridSpan w:val="2"/>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[38] </w:t>
            </w:r>
          </w:p>
        </w:tc>
        <w:tc>
          <w:tcPr>
            <w:tcW w:w="8295" w:type="dxa"/>
            <w:gridSpan w:val="3"/>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r w:rsidRPr="00AC1147">
              <w:rPr>
                <w:sz w:val="18"/>
                <w:szCs w:val="18"/>
                <w:lang w:val="en-US"/>
              </w:rPr>
              <w:t xml:space="preserve">Van der </w:t>
            </w:r>
            <w:proofErr w:type="spellStart"/>
            <w:r w:rsidRPr="00AC1147">
              <w:rPr>
                <w:sz w:val="18"/>
                <w:szCs w:val="18"/>
                <w:lang w:val="en-US"/>
              </w:rPr>
              <w:t>Veen</w:t>
            </w:r>
            <w:proofErr w:type="spellEnd"/>
            <w:r w:rsidRPr="00AC1147">
              <w:rPr>
                <w:sz w:val="18"/>
                <w:szCs w:val="18"/>
                <w:lang w:val="en-US"/>
              </w:rPr>
              <w:t xml:space="preserve"> A.M.H. Determination of the certified value of a reference material appreciating the uncertainty statements obtained in the collaborative st</w:t>
            </w:r>
            <w:r w:rsidRPr="00AC1147">
              <w:rPr>
                <w:sz w:val="18"/>
                <w:szCs w:val="18"/>
                <w:lang w:val="en-US"/>
              </w:rPr>
              <w:t xml:space="preserve">udy, in </w:t>
            </w:r>
            <w:proofErr w:type="spellStart"/>
            <w:r w:rsidRPr="00AC1147">
              <w:rPr>
                <w:sz w:val="18"/>
                <w:szCs w:val="18"/>
                <w:lang w:val="en-US"/>
              </w:rPr>
              <w:t>Ciarlini</w:t>
            </w:r>
            <w:proofErr w:type="spellEnd"/>
            <w:r w:rsidRPr="00AC1147">
              <w:rPr>
                <w:sz w:val="18"/>
                <w:szCs w:val="18"/>
                <w:lang w:val="en-US"/>
              </w:rPr>
              <w:t xml:space="preserve"> P, Cox M.G., Filipe E., </w:t>
            </w:r>
            <w:proofErr w:type="spellStart"/>
            <w:r w:rsidRPr="00AC1147">
              <w:rPr>
                <w:sz w:val="18"/>
                <w:szCs w:val="18"/>
                <w:lang w:val="en-US"/>
              </w:rPr>
              <w:t>Pavese</w:t>
            </w:r>
            <w:proofErr w:type="spellEnd"/>
            <w:r w:rsidRPr="00AC1147">
              <w:rPr>
                <w:sz w:val="18"/>
                <w:szCs w:val="18"/>
                <w:lang w:val="en-US"/>
              </w:rPr>
              <w:t xml:space="preserve"> F., Richter D. Advanced Mathematical and Computational Tools in Metrology, V, World Scientific, Singapore, 2000, pp.326-340</w:t>
            </w:r>
          </w:p>
        </w:tc>
      </w:tr>
      <w:tr w:rsidR="00000000" w:rsidRPr="00AC1147">
        <w:tblPrEx>
          <w:tblCellMar>
            <w:top w:w="0" w:type="dxa"/>
            <w:bottom w:w="0" w:type="dxa"/>
          </w:tblCellMar>
        </w:tblPrEx>
        <w:tc>
          <w:tcPr>
            <w:tcW w:w="855" w:type="dxa"/>
            <w:gridSpan w:val="2"/>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[39] </w:t>
            </w:r>
          </w:p>
        </w:tc>
        <w:tc>
          <w:tcPr>
            <w:tcW w:w="8295" w:type="dxa"/>
            <w:gridSpan w:val="3"/>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r w:rsidRPr="00AC1147">
              <w:rPr>
                <w:sz w:val="18"/>
                <w:szCs w:val="18"/>
                <w:lang w:val="en-US"/>
              </w:rPr>
              <w:t xml:space="preserve">Nielsen L. Evaluation of measurement </w:t>
            </w:r>
            <w:proofErr w:type="spellStart"/>
            <w:r w:rsidRPr="00AC1147">
              <w:rPr>
                <w:sz w:val="18"/>
                <w:szCs w:val="18"/>
                <w:lang w:val="en-US"/>
              </w:rPr>
              <w:t>intercomparisons</w:t>
            </w:r>
            <w:proofErr w:type="spellEnd"/>
            <w:r w:rsidRPr="00AC1147">
              <w:rPr>
                <w:sz w:val="18"/>
                <w:szCs w:val="18"/>
                <w:lang w:val="en-US"/>
              </w:rPr>
              <w:t xml:space="preserve"> by the method of least </w:t>
            </w:r>
            <w:r w:rsidRPr="00AC1147">
              <w:rPr>
                <w:sz w:val="18"/>
                <w:szCs w:val="18"/>
                <w:lang w:val="en-US"/>
              </w:rPr>
              <w:t>squares, Technical Report CCEM WGKC 00-13, CCEM Working Group on Key Comparisons, 2000</w:t>
            </w:r>
          </w:p>
        </w:tc>
      </w:tr>
      <w:tr w:rsidR="00000000" w:rsidRPr="00AC1147">
        <w:tblPrEx>
          <w:tblCellMar>
            <w:top w:w="0" w:type="dxa"/>
            <w:bottom w:w="0" w:type="dxa"/>
          </w:tblCellMar>
        </w:tblPrEx>
        <w:tc>
          <w:tcPr>
            <w:tcW w:w="855" w:type="dxa"/>
            <w:gridSpan w:val="2"/>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[40] </w:t>
            </w:r>
          </w:p>
        </w:tc>
        <w:tc>
          <w:tcPr>
            <w:tcW w:w="8295" w:type="dxa"/>
            <w:gridSpan w:val="3"/>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r w:rsidRPr="00AC1147">
              <w:rPr>
                <w:sz w:val="18"/>
                <w:szCs w:val="18"/>
                <w:lang w:val="en-US"/>
              </w:rPr>
              <w:t xml:space="preserve">Cox M.G., Forbes A.B., Harris P.M. </w:t>
            </w:r>
            <w:proofErr w:type="spellStart"/>
            <w:r w:rsidRPr="00AC1147">
              <w:rPr>
                <w:sz w:val="18"/>
                <w:szCs w:val="18"/>
                <w:lang w:val="en-US"/>
              </w:rPr>
              <w:t>SSfM</w:t>
            </w:r>
            <w:proofErr w:type="spellEnd"/>
            <w:r w:rsidRPr="00AC1147">
              <w:rPr>
                <w:sz w:val="18"/>
                <w:szCs w:val="18"/>
                <w:lang w:val="en-US"/>
              </w:rPr>
              <w:t xml:space="preserve"> Best Practice Guide 4 - Discrete modeling, Centre for Mathematics and Scientific Computing, NPL, </w:t>
            </w:r>
            <w:proofErr w:type="spellStart"/>
            <w:r w:rsidRPr="00AC1147">
              <w:rPr>
                <w:sz w:val="18"/>
                <w:szCs w:val="18"/>
                <w:lang w:val="en-US"/>
              </w:rPr>
              <w:t>Teddington</w:t>
            </w:r>
            <w:proofErr w:type="spellEnd"/>
            <w:r w:rsidRPr="00AC1147">
              <w:rPr>
                <w:sz w:val="18"/>
                <w:szCs w:val="18"/>
                <w:lang w:val="en-US"/>
              </w:rPr>
              <w:t xml:space="preserve"> (UK), Version </w:t>
            </w:r>
            <w:r w:rsidRPr="00AC1147">
              <w:rPr>
                <w:sz w:val="18"/>
                <w:szCs w:val="18"/>
                <w:lang w:val="en-US"/>
              </w:rPr>
              <w:t>1.1, March 2002</w:t>
            </w:r>
          </w:p>
        </w:tc>
      </w:tr>
      <w:tr w:rsidR="00000000" w:rsidRPr="00AC1147">
        <w:tblPrEx>
          <w:tblCellMar>
            <w:top w:w="0" w:type="dxa"/>
            <w:bottom w:w="0" w:type="dxa"/>
          </w:tblCellMar>
        </w:tblPrEx>
        <w:tc>
          <w:tcPr>
            <w:tcW w:w="855" w:type="dxa"/>
            <w:gridSpan w:val="2"/>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[41] </w:t>
            </w:r>
          </w:p>
        </w:tc>
        <w:tc>
          <w:tcPr>
            <w:tcW w:w="8295" w:type="dxa"/>
            <w:gridSpan w:val="3"/>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r w:rsidRPr="00AC1147">
              <w:rPr>
                <w:sz w:val="18"/>
                <w:szCs w:val="18"/>
                <w:lang w:val="en-US"/>
              </w:rPr>
              <w:t xml:space="preserve">Cox M.G., </w:t>
            </w:r>
            <w:proofErr w:type="spellStart"/>
            <w:r w:rsidRPr="00AC1147">
              <w:rPr>
                <w:sz w:val="18"/>
                <w:szCs w:val="18"/>
                <w:lang w:val="en-US"/>
              </w:rPr>
              <w:t>Dainton</w:t>
            </w:r>
            <w:proofErr w:type="spellEnd"/>
            <w:r w:rsidRPr="00AC1147">
              <w:rPr>
                <w:sz w:val="18"/>
                <w:szCs w:val="18"/>
                <w:lang w:val="en-US"/>
              </w:rPr>
              <w:t xml:space="preserve"> M.P., Harris P.M. </w:t>
            </w:r>
            <w:proofErr w:type="spellStart"/>
            <w:r w:rsidRPr="00AC1147">
              <w:rPr>
                <w:sz w:val="18"/>
                <w:szCs w:val="18"/>
                <w:lang w:val="en-US"/>
              </w:rPr>
              <w:t>SSfM</w:t>
            </w:r>
            <w:proofErr w:type="spellEnd"/>
            <w:r w:rsidRPr="00AC1147">
              <w:rPr>
                <w:sz w:val="18"/>
                <w:szCs w:val="18"/>
                <w:lang w:val="en-US"/>
              </w:rPr>
              <w:t xml:space="preserve"> Best Practice Guide 6 - Uncertainty and </w:t>
            </w:r>
            <w:proofErr w:type="spellStart"/>
            <w:r w:rsidRPr="00AC1147">
              <w:rPr>
                <w:sz w:val="18"/>
                <w:szCs w:val="18"/>
                <w:lang w:val="en-US"/>
              </w:rPr>
              <w:t>statisticalmodelling</w:t>
            </w:r>
            <w:proofErr w:type="spellEnd"/>
            <w:r w:rsidRPr="00AC1147">
              <w:rPr>
                <w:sz w:val="18"/>
                <w:szCs w:val="18"/>
                <w:lang w:val="en-US"/>
              </w:rPr>
              <w:t xml:space="preserve">, Centre for Mathematics and Scientific Computing, NPL, </w:t>
            </w:r>
            <w:proofErr w:type="spellStart"/>
            <w:r w:rsidRPr="00AC1147">
              <w:rPr>
                <w:sz w:val="18"/>
                <w:szCs w:val="18"/>
                <w:lang w:val="en-US"/>
              </w:rPr>
              <w:t>Teddington</w:t>
            </w:r>
            <w:proofErr w:type="spellEnd"/>
            <w:r w:rsidRPr="00AC1147">
              <w:rPr>
                <w:sz w:val="18"/>
                <w:szCs w:val="18"/>
                <w:lang w:val="en-US"/>
              </w:rPr>
              <w:t xml:space="preserve"> (UK), March 2001</w:t>
            </w:r>
          </w:p>
        </w:tc>
      </w:tr>
      <w:tr w:rsidR="00000000" w:rsidRPr="00AC1147">
        <w:tblPrEx>
          <w:tblCellMar>
            <w:top w:w="0" w:type="dxa"/>
            <w:bottom w:w="0" w:type="dxa"/>
          </w:tblCellMar>
        </w:tblPrEx>
        <w:tc>
          <w:tcPr>
            <w:tcW w:w="855" w:type="dxa"/>
            <w:gridSpan w:val="2"/>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lastRenderedPageBreak/>
              <w:t xml:space="preserve">[42] </w:t>
            </w:r>
          </w:p>
        </w:tc>
        <w:tc>
          <w:tcPr>
            <w:tcW w:w="8295" w:type="dxa"/>
            <w:gridSpan w:val="3"/>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r w:rsidRPr="00AC1147">
              <w:rPr>
                <w:sz w:val="18"/>
                <w:szCs w:val="18"/>
                <w:lang w:val="en-US"/>
              </w:rPr>
              <w:t xml:space="preserve">Cox M.G. A discussion of approaches for determining a reference value in the analysis of </w:t>
            </w:r>
            <w:proofErr w:type="spellStart"/>
            <w:r w:rsidRPr="00AC1147">
              <w:rPr>
                <w:sz w:val="18"/>
                <w:szCs w:val="18"/>
                <w:lang w:val="en-US"/>
              </w:rPr>
              <w:t>keycomparison</w:t>
            </w:r>
            <w:proofErr w:type="spellEnd"/>
            <w:r w:rsidRPr="00AC1147">
              <w:rPr>
                <w:sz w:val="18"/>
                <w:szCs w:val="18"/>
                <w:lang w:val="en-US"/>
              </w:rPr>
              <w:t xml:space="preserve"> data, CISE 42/99, Centre for Mathematics and Scientific Computing, NPL, </w:t>
            </w:r>
            <w:proofErr w:type="spellStart"/>
            <w:r w:rsidRPr="00AC1147">
              <w:rPr>
                <w:sz w:val="18"/>
                <w:szCs w:val="18"/>
                <w:lang w:val="en-US"/>
              </w:rPr>
              <w:t>Teddington</w:t>
            </w:r>
            <w:proofErr w:type="spellEnd"/>
            <w:r w:rsidRPr="00AC1147">
              <w:rPr>
                <w:sz w:val="18"/>
                <w:szCs w:val="18"/>
                <w:lang w:val="en-US"/>
              </w:rPr>
              <w:t xml:space="preserve"> (UK), October 1999</w:t>
            </w:r>
          </w:p>
        </w:tc>
      </w:tr>
      <w:tr w:rsidR="00000000">
        <w:tblPrEx>
          <w:tblCellMar>
            <w:top w:w="0" w:type="dxa"/>
            <w:bottom w:w="0" w:type="dxa"/>
          </w:tblCellMar>
        </w:tblPrEx>
        <w:tc>
          <w:tcPr>
            <w:tcW w:w="855" w:type="dxa"/>
            <w:gridSpan w:val="2"/>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[43] </w:t>
            </w:r>
          </w:p>
        </w:tc>
        <w:tc>
          <w:tcPr>
            <w:tcW w:w="8295" w:type="dxa"/>
            <w:gridSpan w:val="3"/>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proofErr w:type="spellStart"/>
            <w:r w:rsidRPr="00AC1147">
              <w:rPr>
                <w:sz w:val="18"/>
                <w:szCs w:val="18"/>
                <w:lang w:val="en-US"/>
              </w:rPr>
              <w:t>Levenson</w:t>
            </w:r>
            <w:proofErr w:type="spellEnd"/>
            <w:r w:rsidRPr="00AC1147">
              <w:rPr>
                <w:sz w:val="18"/>
                <w:szCs w:val="18"/>
                <w:lang w:val="en-US"/>
              </w:rPr>
              <w:t xml:space="preserve"> M.S., Banks D.L., </w:t>
            </w:r>
            <w:proofErr w:type="spellStart"/>
            <w:r w:rsidRPr="00AC1147">
              <w:rPr>
                <w:sz w:val="18"/>
                <w:szCs w:val="18"/>
                <w:lang w:val="en-US"/>
              </w:rPr>
              <w:t>Eberhardt</w:t>
            </w:r>
            <w:proofErr w:type="spellEnd"/>
            <w:r w:rsidRPr="00AC1147">
              <w:rPr>
                <w:sz w:val="18"/>
                <w:szCs w:val="18"/>
                <w:lang w:val="en-US"/>
              </w:rPr>
              <w:t xml:space="preserve"> K.R., G</w:t>
            </w:r>
            <w:r w:rsidRPr="00AC1147">
              <w:rPr>
                <w:sz w:val="18"/>
                <w:szCs w:val="18"/>
                <w:lang w:val="en-US"/>
              </w:rPr>
              <w:t xml:space="preserve">ill L.M., Guthrie W.F., Liu H.K., </w:t>
            </w:r>
            <w:proofErr w:type="spellStart"/>
            <w:r w:rsidRPr="00AC1147">
              <w:rPr>
                <w:sz w:val="18"/>
                <w:szCs w:val="18"/>
                <w:lang w:val="en-US"/>
              </w:rPr>
              <w:t>Vangel</w:t>
            </w:r>
            <w:proofErr w:type="spellEnd"/>
            <w:r w:rsidRPr="00AC1147">
              <w:rPr>
                <w:sz w:val="18"/>
                <w:szCs w:val="18"/>
                <w:lang w:val="en-US"/>
              </w:rPr>
              <w:t xml:space="preserve"> M.G., Yen J.H., Zhang N.F. An approach to combining results from multiple methods motivated by the ISO GUM, J. Res. </w:t>
            </w:r>
            <w:proofErr w:type="spellStart"/>
            <w:r>
              <w:rPr>
                <w:sz w:val="18"/>
                <w:szCs w:val="18"/>
              </w:rPr>
              <w:t>Natl</w:t>
            </w:r>
            <w:proofErr w:type="spellEnd"/>
            <w:r>
              <w:rPr>
                <w:sz w:val="18"/>
                <w:szCs w:val="18"/>
              </w:rPr>
              <w:t xml:space="preserve">. </w:t>
            </w:r>
            <w:proofErr w:type="spellStart"/>
            <w:r>
              <w:rPr>
                <w:sz w:val="18"/>
                <w:szCs w:val="18"/>
              </w:rPr>
              <w:t>Inst</w:t>
            </w:r>
            <w:proofErr w:type="spellEnd"/>
            <w:r>
              <w:rPr>
                <w:sz w:val="18"/>
                <w:szCs w:val="18"/>
              </w:rPr>
              <w:t xml:space="preserve">. </w:t>
            </w:r>
            <w:proofErr w:type="spellStart"/>
            <w:r>
              <w:rPr>
                <w:sz w:val="18"/>
                <w:szCs w:val="18"/>
              </w:rPr>
              <w:t>Stand</w:t>
            </w:r>
            <w:proofErr w:type="spellEnd"/>
            <w:r>
              <w:rPr>
                <w:sz w:val="18"/>
                <w:szCs w:val="18"/>
              </w:rPr>
              <w:t xml:space="preserve">. </w:t>
            </w:r>
            <w:proofErr w:type="spellStart"/>
            <w:r>
              <w:rPr>
                <w:sz w:val="18"/>
                <w:szCs w:val="18"/>
              </w:rPr>
              <w:t>Technol</w:t>
            </w:r>
            <w:proofErr w:type="spellEnd"/>
            <w:r>
              <w:rPr>
                <w:sz w:val="18"/>
                <w:szCs w:val="18"/>
              </w:rPr>
              <w:t>., 105 (2000), pp.571-579</w:t>
            </w:r>
          </w:p>
        </w:tc>
      </w:tr>
      <w:tr w:rsidR="00000000" w:rsidRPr="00AC1147">
        <w:tblPrEx>
          <w:tblCellMar>
            <w:top w:w="0" w:type="dxa"/>
            <w:bottom w:w="0" w:type="dxa"/>
          </w:tblCellMar>
        </w:tblPrEx>
        <w:tc>
          <w:tcPr>
            <w:tcW w:w="855" w:type="dxa"/>
            <w:gridSpan w:val="2"/>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[44] </w:t>
            </w:r>
          </w:p>
        </w:tc>
        <w:tc>
          <w:tcPr>
            <w:tcW w:w="8295" w:type="dxa"/>
            <w:gridSpan w:val="3"/>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r w:rsidRPr="00AC1147">
              <w:rPr>
                <w:sz w:val="18"/>
                <w:szCs w:val="18"/>
                <w:lang w:val="en-US"/>
              </w:rPr>
              <w:t>John P.W.M. Statistical design and analy</w:t>
            </w:r>
            <w:r w:rsidRPr="00AC1147">
              <w:rPr>
                <w:sz w:val="18"/>
                <w:szCs w:val="18"/>
                <w:lang w:val="en-US"/>
              </w:rPr>
              <w:t>sis of experiments, New York, NY, Macmillan, 1971, p. 76</w:t>
            </w:r>
          </w:p>
        </w:tc>
      </w:tr>
      <w:tr w:rsidR="00000000" w:rsidRPr="00AC1147">
        <w:tblPrEx>
          <w:tblCellMar>
            <w:top w:w="0" w:type="dxa"/>
            <w:bottom w:w="0" w:type="dxa"/>
          </w:tblCellMar>
        </w:tblPrEx>
        <w:tc>
          <w:tcPr>
            <w:tcW w:w="855" w:type="dxa"/>
            <w:gridSpan w:val="2"/>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[45] </w:t>
            </w:r>
          </w:p>
        </w:tc>
        <w:tc>
          <w:tcPr>
            <w:tcW w:w="8295" w:type="dxa"/>
            <w:gridSpan w:val="3"/>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r w:rsidRPr="00AC1147">
              <w:rPr>
                <w:sz w:val="18"/>
                <w:szCs w:val="18"/>
                <w:lang w:val="en-US"/>
              </w:rPr>
              <w:t>Searle S.R. Linear models, New York, NY, John Wiley, 1971</w:t>
            </w:r>
          </w:p>
        </w:tc>
      </w:tr>
      <w:tr w:rsidR="00000000" w:rsidRPr="00AC1147">
        <w:tblPrEx>
          <w:tblCellMar>
            <w:top w:w="0" w:type="dxa"/>
            <w:bottom w:w="0" w:type="dxa"/>
          </w:tblCellMar>
        </w:tblPrEx>
        <w:tc>
          <w:tcPr>
            <w:tcW w:w="855" w:type="dxa"/>
            <w:gridSpan w:val="2"/>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[46] </w:t>
            </w:r>
          </w:p>
        </w:tc>
        <w:tc>
          <w:tcPr>
            <w:tcW w:w="8295" w:type="dxa"/>
            <w:gridSpan w:val="3"/>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proofErr w:type="spellStart"/>
            <w:r w:rsidRPr="00AC1147">
              <w:rPr>
                <w:sz w:val="18"/>
                <w:szCs w:val="18"/>
                <w:lang w:val="en-US"/>
              </w:rPr>
              <w:t>Linsinger</w:t>
            </w:r>
            <w:proofErr w:type="spellEnd"/>
            <w:r w:rsidRPr="00AC1147">
              <w:rPr>
                <w:sz w:val="18"/>
                <w:szCs w:val="18"/>
                <w:lang w:val="en-US"/>
              </w:rPr>
              <w:t xml:space="preserve"> T., Kristiansen N., </w:t>
            </w:r>
            <w:proofErr w:type="spellStart"/>
            <w:r w:rsidRPr="00AC1147">
              <w:rPr>
                <w:sz w:val="18"/>
                <w:szCs w:val="18"/>
                <w:lang w:val="en-US"/>
              </w:rPr>
              <w:t>Schimmel</w:t>
            </w:r>
            <w:proofErr w:type="spellEnd"/>
            <w:r w:rsidRPr="00AC1147">
              <w:rPr>
                <w:sz w:val="18"/>
                <w:szCs w:val="18"/>
                <w:lang w:val="en-US"/>
              </w:rPr>
              <w:t xml:space="preserve"> H., </w:t>
            </w:r>
            <w:proofErr w:type="spellStart"/>
            <w:r w:rsidRPr="00AC1147">
              <w:rPr>
                <w:sz w:val="18"/>
                <w:szCs w:val="18"/>
                <w:lang w:val="en-US"/>
              </w:rPr>
              <w:t>Pauwels</w:t>
            </w:r>
            <w:proofErr w:type="spellEnd"/>
            <w:r w:rsidRPr="00AC1147">
              <w:rPr>
                <w:sz w:val="18"/>
                <w:szCs w:val="18"/>
                <w:lang w:val="en-US"/>
              </w:rPr>
              <w:t xml:space="preserve"> J. et al. (2000). Catalytic Concentration of </w:t>
            </w:r>
            <w:r w:rsidR="00862BD0">
              <w:rPr>
                <w:noProof/>
                <w:position w:val="-7"/>
                <w:sz w:val="18"/>
                <w:szCs w:val="18"/>
              </w:rPr>
              <w:drawing>
                <wp:inline distT="0" distB="0" distL="0" distR="0">
                  <wp:extent cx="114300" cy="161925"/>
                  <wp:effectExtent l="0" t="0" r="0" b="9525"/>
                  <wp:docPr id="306" name="Рисунок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14300" cy="161925"/>
                          </a:xfrm>
                          <a:prstGeom prst="rect">
                            <a:avLst/>
                          </a:prstGeom>
                          <a:noFill/>
                          <a:ln>
                            <a:noFill/>
                          </a:ln>
                        </pic:spPr>
                      </pic:pic>
                    </a:graphicData>
                  </a:graphic>
                </wp:inline>
              </w:drawing>
            </w:r>
            <w:r w:rsidRPr="00AC1147">
              <w:rPr>
                <w:sz w:val="18"/>
                <w:szCs w:val="18"/>
                <w:lang w:val="en-US"/>
              </w:rPr>
              <w:t>-</w:t>
            </w:r>
            <w:proofErr w:type="spellStart"/>
            <w:r w:rsidRPr="00AC1147">
              <w:rPr>
                <w:sz w:val="18"/>
                <w:szCs w:val="18"/>
                <w:lang w:val="en-US"/>
              </w:rPr>
              <w:t>Glutamyltransferase</w:t>
            </w:r>
            <w:proofErr w:type="spellEnd"/>
            <w:r w:rsidRPr="00AC1147">
              <w:rPr>
                <w:sz w:val="18"/>
                <w:szCs w:val="18"/>
                <w:lang w:val="en-US"/>
              </w:rPr>
              <w:t xml:space="preserve"> (GGT) determined by the IFCC-Method at 37°C. IRMM/IFCC-452, EUR19577EN</w:t>
            </w:r>
          </w:p>
        </w:tc>
      </w:tr>
      <w:tr w:rsidR="00000000" w:rsidRPr="00AC1147">
        <w:tblPrEx>
          <w:tblCellMar>
            <w:top w:w="0" w:type="dxa"/>
            <w:bottom w:w="0" w:type="dxa"/>
          </w:tblCellMar>
        </w:tblPrEx>
        <w:tc>
          <w:tcPr>
            <w:tcW w:w="855" w:type="dxa"/>
            <w:gridSpan w:val="2"/>
            <w:tcBorders>
              <w:top w:val="nil"/>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[47] </w:t>
            </w:r>
          </w:p>
        </w:tc>
        <w:tc>
          <w:tcPr>
            <w:tcW w:w="8295" w:type="dxa"/>
            <w:gridSpan w:val="3"/>
            <w:tcBorders>
              <w:top w:val="nil"/>
              <w:left w:val="nil"/>
              <w:bottom w:val="nil"/>
              <w:right w:val="nil"/>
            </w:tcBorders>
            <w:tcMar>
              <w:top w:w="114" w:type="dxa"/>
              <w:left w:w="28" w:type="dxa"/>
              <w:bottom w:w="114" w:type="dxa"/>
              <w:right w:w="28" w:type="dxa"/>
            </w:tcMar>
          </w:tcPr>
          <w:p w:rsidR="00000000" w:rsidRPr="00AC1147" w:rsidRDefault="005829C2">
            <w:pPr>
              <w:pStyle w:val="a3"/>
              <w:jc w:val="both"/>
              <w:rPr>
                <w:sz w:val="18"/>
                <w:szCs w:val="18"/>
                <w:lang w:val="en-US"/>
              </w:rPr>
            </w:pPr>
            <w:proofErr w:type="spellStart"/>
            <w:r w:rsidRPr="00AC1147">
              <w:rPr>
                <w:sz w:val="18"/>
                <w:szCs w:val="18"/>
                <w:lang w:val="en-US"/>
              </w:rPr>
              <w:t>Schiele</w:t>
            </w:r>
            <w:proofErr w:type="spellEnd"/>
            <w:r w:rsidRPr="00AC1147">
              <w:rPr>
                <w:sz w:val="18"/>
                <w:szCs w:val="18"/>
                <w:lang w:val="en-US"/>
              </w:rPr>
              <w:t xml:space="preserve"> F., </w:t>
            </w:r>
            <w:proofErr w:type="spellStart"/>
            <w:r w:rsidRPr="00AC1147">
              <w:rPr>
                <w:sz w:val="18"/>
                <w:szCs w:val="18"/>
                <w:lang w:val="en-US"/>
              </w:rPr>
              <w:t>Siest</w:t>
            </w:r>
            <w:proofErr w:type="spellEnd"/>
            <w:r w:rsidRPr="00AC1147">
              <w:rPr>
                <w:sz w:val="18"/>
                <w:szCs w:val="18"/>
                <w:lang w:val="en-US"/>
              </w:rPr>
              <w:t xml:space="preserve"> G., Moss D.W., </w:t>
            </w:r>
            <w:proofErr w:type="spellStart"/>
            <w:r w:rsidRPr="00AC1147">
              <w:rPr>
                <w:sz w:val="18"/>
                <w:szCs w:val="18"/>
                <w:lang w:val="en-US"/>
              </w:rPr>
              <w:t>Colinet</w:t>
            </w:r>
            <w:proofErr w:type="spellEnd"/>
            <w:r w:rsidRPr="00AC1147">
              <w:rPr>
                <w:sz w:val="18"/>
                <w:szCs w:val="18"/>
                <w:lang w:val="en-US"/>
              </w:rPr>
              <w:t xml:space="preserve"> E. The certification of the catalytic concentration of </w:t>
            </w:r>
            <w:proofErr w:type="spellStart"/>
            <w:r w:rsidRPr="00AC1147">
              <w:rPr>
                <w:sz w:val="18"/>
                <w:szCs w:val="18"/>
                <w:lang w:val="en-US"/>
              </w:rPr>
              <w:t>gammaglutamyltrans-ferase</w:t>
            </w:r>
            <w:proofErr w:type="spellEnd"/>
            <w:r w:rsidRPr="00AC1147">
              <w:rPr>
                <w:sz w:val="18"/>
                <w:szCs w:val="18"/>
                <w:lang w:val="en-US"/>
              </w:rPr>
              <w:t xml:space="preserve"> in a reconstituted lyophilized</w:t>
            </w:r>
            <w:r w:rsidRPr="00AC1147">
              <w:rPr>
                <w:sz w:val="18"/>
                <w:szCs w:val="18"/>
                <w:lang w:val="en-US"/>
              </w:rPr>
              <w:t xml:space="preserve"> material (CRM 319), 1986; CEC Report EUR 10628 EN </w:t>
            </w:r>
          </w:p>
        </w:tc>
      </w:tr>
    </w:tbl>
    <w:p w:rsidR="00000000" w:rsidRPr="00AC1147" w:rsidRDefault="005829C2">
      <w:pPr>
        <w:pStyle w:val="a3"/>
        <w:rPr>
          <w:lang w:val="en-US"/>
        </w:rPr>
      </w:pPr>
    </w:p>
    <w:tbl>
      <w:tblPr>
        <w:tblW w:w="0" w:type="auto"/>
        <w:tblInd w:w="28" w:type="dxa"/>
        <w:tblLayout w:type="fixed"/>
        <w:tblCellMar>
          <w:left w:w="90" w:type="dxa"/>
          <w:right w:w="90" w:type="dxa"/>
        </w:tblCellMar>
        <w:tblLook w:val="0000" w:firstRow="0" w:lastRow="0" w:firstColumn="0" w:lastColumn="0" w:noHBand="0" w:noVBand="0"/>
      </w:tblPr>
      <w:tblGrid>
        <w:gridCol w:w="4605"/>
        <w:gridCol w:w="2295"/>
        <w:gridCol w:w="2310"/>
      </w:tblGrid>
      <w:tr w:rsidR="00000000" w:rsidRPr="00AC1147">
        <w:tblPrEx>
          <w:tblCellMar>
            <w:top w:w="0" w:type="dxa"/>
            <w:bottom w:w="0" w:type="dxa"/>
          </w:tblCellMar>
        </w:tblPrEx>
        <w:tc>
          <w:tcPr>
            <w:tcW w:w="4605" w:type="dxa"/>
            <w:tcBorders>
              <w:top w:val="nil"/>
              <w:left w:val="nil"/>
              <w:bottom w:val="nil"/>
              <w:right w:val="nil"/>
            </w:tcBorders>
            <w:tcMar>
              <w:top w:w="114" w:type="dxa"/>
              <w:left w:w="28" w:type="dxa"/>
              <w:bottom w:w="114" w:type="dxa"/>
              <w:right w:w="28" w:type="dxa"/>
            </w:tcMar>
          </w:tcPr>
          <w:p w:rsidR="00000000" w:rsidRPr="00AC1147" w:rsidRDefault="005829C2">
            <w:pPr>
              <w:widowControl w:val="0"/>
              <w:autoSpaceDE w:val="0"/>
              <w:autoSpaceDN w:val="0"/>
              <w:adjustRightInd w:val="0"/>
              <w:spacing w:after="0" w:line="240" w:lineRule="auto"/>
              <w:rPr>
                <w:rFonts w:ascii="Arial" w:hAnsi="Arial" w:cs="Arial"/>
                <w:sz w:val="24"/>
                <w:szCs w:val="24"/>
                <w:lang w:val="en-US"/>
              </w:rPr>
            </w:pPr>
          </w:p>
        </w:tc>
        <w:tc>
          <w:tcPr>
            <w:tcW w:w="2295" w:type="dxa"/>
            <w:tcBorders>
              <w:top w:val="nil"/>
              <w:left w:val="nil"/>
              <w:bottom w:val="nil"/>
              <w:right w:val="nil"/>
            </w:tcBorders>
            <w:tcMar>
              <w:top w:w="114" w:type="dxa"/>
              <w:left w:w="28" w:type="dxa"/>
              <w:bottom w:w="114" w:type="dxa"/>
              <w:right w:w="28" w:type="dxa"/>
            </w:tcMar>
          </w:tcPr>
          <w:p w:rsidR="00000000" w:rsidRPr="00AC1147" w:rsidRDefault="005829C2">
            <w:pPr>
              <w:widowControl w:val="0"/>
              <w:autoSpaceDE w:val="0"/>
              <w:autoSpaceDN w:val="0"/>
              <w:adjustRightInd w:val="0"/>
              <w:spacing w:after="0" w:line="240" w:lineRule="auto"/>
              <w:rPr>
                <w:rFonts w:ascii="Arial" w:hAnsi="Arial" w:cs="Arial"/>
                <w:sz w:val="24"/>
                <w:szCs w:val="24"/>
                <w:lang w:val="en-US"/>
              </w:rPr>
            </w:pPr>
          </w:p>
        </w:tc>
        <w:tc>
          <w:tcPr>
            <w:tcW w:w="2310" w:type="dxa"/>
            <w:tcBorders>
              <w:top w:val="nil"/>
              <w:left w:val="nil"/>
              <w:bottom w:val="nil"/>
              <w:right w:val="nil"/>
            </w:tcBorders>
            <w:tcMar>
              <w:top w:w="114" w:type="dxa"/>
              <w:left w:w="28" w:type="dxa"/>
              <w:bottom w:w="114" w:type="dxa"/>
              <w:right w:w="28" w:type="dxa"/>
            </w:tcMar>
          </w:tcPr>
          <w:p w:rsidR="00000000" w:rsidRPr="00AC1147" w:rsidRDefault="005829C2">
            <w:pPr>
              <w:widowControl w:val="0"/>
              <w:autoSpaceDE w:val="0"/>
              <w:autoSpaceDN w:val="0"/>
              <w:adjustRightInd w:val="0"/>
              <w:spacing w:after="0" w:line="240" w:lineRule="auto"/>
              <w:rPr>
                <w:rFonts w:ascii="Arial" w:hAnsi="Arial" w:cs="Arial"/>
                <w:sz w:val="24"/>
                <w:szCs w:val="24"/>
                <w:lang w:val="en-US"/>
              </w:rPr>
            </w:pPr>
          </w:p>
        </w:tc>
      </w:tr>
      <w:tr w:rsidR="00000000">
        <w:tblPrEx>
          <w:tblCellMar>
            <w:top w:w="0" w:type="dxa"/>
            <w:bottom w:w="0" w:type="dxa"/>
          </w:tblCellMar>
        </w:tblPrEx>
        <w:tc>
          <w:tcPr>
            <w:tcW w:w="4605" w:type="dxa"/>
            <w:tcBorders>
              <w:top w:val="single" w:sz="6" w:space="0" w:color="auto"/>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УДК </w:t>
            </w:r>
            <w:proofErr w:type="gramStart"/>
            <w:r>
              <w:rPr>
                <w:sz w:val="18"/>
                <w:szCs w:val="18"/>
              </w:rPr>
              <w:t>655.535.2:006.354</w:t>
            </w:r>
            <w:proofErr w:type="gramEnd"/>
            <w:r>
              <w:rPr>
                <w:sz w:val="18"/>
                <w:szCs w:val="18"/>
              </w:rPr>
              <w:t xml:space="preserve"> </w:t>
            </w:r>
          </w:p>
        </w:tc>
        <w:tc>
          <w:tcPr>
            <w:tcW w:w="2295" w:type="dxa"/>
            <w:tcBorders>
              <w:top w:val="single" w:sz="6" w:space="0" w:color="auto"/>
              <w:left w:val="nil"/>
              <w:bottom w:val="nil"/>
              <w:right w:val="nil"/>
            </w:tcBorders>
            <w:tcMar>
              <w:top w:w="114" w:type="dxa"/>
              <w:left w:w="28" w:type="dxa"/>
              <w:bottom w:w="114" w:type="dxa"/>
              <w:right w:w="28" w:type="dxa"/>
            </w:tcMar>
          </w:tcPr>
          <w:p w:rsidR="00000000" w:rsidRDefault="005829C2">
            <w:pPr>
              <w:pStyle w:val="a3"/>
              <w:jc w:val="both"/>
              <w:rPr>
                <w:sz w:val="18"/>
                <w:szCs w:val="18"/>
              </w:rPr>
            </w:pPr>
            <w:r>
              <w:rPr>
                <w:sz w:val="18"/>
                <w:szCs w:val="18"/>
              </w:rPr>
              <w:t xml:space="preserve">МКС 17.020 </w:t>
            </w:r>
          </w:p>
        </w:tc>
        <w:tc>
          <w:tcPr>
            <w:tcW w:w="2310" w:type="dxa"/>
            <w:tcBorders>
              <w:top w:val="single" w:sz="6" w:space="0" w:color="auto"/>
              <w:left w:val="nil"/>
              <w:bottom w:val="nil"/>
              <w:right w:val="nil"/>
            </w:tcBorders>
            <w:tcMar>
              <w:top w:w="114" w:type="dxa"/>
              <w:left w:w="28" w:type="dxa"/>
              <w:bottom w:w="114" w:type="dxa"/>
              <w:right w:w="28" w:type="dxa"/>
            </w:tcMar>
          </w:tcPr>
          <w:p w:rsidR="00000000" w:rsidRDefault="005829C2">
            <w:pPr>
              <w:pStyle w:val="a3"/>
              <w:jc w:val="right"/>
              <w:rPr>
                <w:sz w:val="18"/>
                <w:szCs w:val="18"/>
              </w:rPr>
            </w:pPr>
            <w:r>
              <w:rPr>
                <w:sz w:val="18"/>
                <w:szCs w:val="18"/>
              </w:rPr>
              <w:t xml:space="preserve">Т62 </w:t>
            </w:r>
          </w:p>
        </w:tc>
      </w:tr>
      <w:tr w:rsidR="00000000">
        <w:tblPrEx>
          <w:tblCellMar>
            <w:top w:w="0" w:type="dxa"/>
            <w:bottom w:w="0" w:type="dxa"/>
          </w:tblCellMar>
        </w:tblPrEx>
        <w:tc>
          <w:tcPr>
            <w:tcW w:w="9210" w:type="dxa"/>
            <w:gridSpan w:val="3"/>
            <w:tcBorders>
              <w:top w:val="nil"/>
              <w:left w:val="nil"/>
              <w:bottom w:val="nil"/>
              <w:right w:val="nil"/>
            </w:tcBorders>
            <w:tcMar>
              <w:top w:w="114" w:type="dxa"/>
              <w:left w:w="28" w:type="dxa"/>
              <w:bottom w:w="114" w:type="dxa"/>
              <w:right w:w="28" w:type="dxa"/>
            </w:tcMar>
          </w:tcPr>
          <w:p w:rsidR="00000000" w:rsidRDefault="005829C2">
            <w:pPr>
              <w:pStyle w:val="a3"/>
              <w:rPr>
                <w:sz w:val="18"/>
                <w:szCs w:val="18"/>
              </w:rPr>
            </w:pPr>
            <w:r>
              <w:rPr>
                <w:sz w:val="18"/>
                <w:szCs w:val="18"/>
              </w:rPr>
              <w:t xml:space="preserve">  </w:t>
            </w:r>
          </w:p>
        </w:tc>
      </w:tr>
      <w:tr w:rsidR="00000000">
        <w:tblPrEx>
          <w:tblCellMar>
            <w:top w:w="0" w:type="dxa"/>
            <w:bottom w:w="0" w:type="dxa"/>
          </w:tblCellMar>
        </w:tblPrEx>
        <w:tc>
          <w:tcPr>
            <w:tcW w:w="9210" w:type="dxa"/>
            <w:gridSpan w:val="3"/>
            <w:tcBorders>
              <w:top w:val="nil"/>
              <w:left w:val="nil"/>
              <w:bottom w:val="single" w:sz="6" w:space="0" w:color="auto"/>
              <w:right w:val="nil"/>
            </w:tcBorders>
            <w:tcMar>
              <w:top w:w="114" w:type="dxa"/>
              <w:left w:w="28" w:type="dxa"/>
              <w:bottom w:w="114" w:type="dxa"/>
              <w:right w:w="28" w:type="dxa"/>
            </w:tcMar>
          </w:tcPr>
          <w:p w:rsidR="00000000" w:rsidRDefault="005829C2">
            <w:pPr>
              <w:pStyle w:val="a3"/>
              <w:ind w:firstLine="568"/>
              <w:jc w:val="both"/>
              <w:rPr>
                <w:sz w:val="18"/>
                <w:szCs w:val="18"/>
              </w:rPr>
            </w:pPr>
            <w:r>
              <w:rPr>
                <w:sz w:val="18"/>
                <w:szCs w:val="18"/>
              </w:rPr>
              <w:t xml:space="preserve">Ключевые слова: аттестованные стандартные образцы, сертифицированные стандартные образцы, аттестованное значение стандартного образца, сертифицированное </w:t>
            </w:r>
            <w:r>
              <w:rPr>
                <w:sz w:val="18"/>
                <w:szCs w:val="18"/>
              </w:rPr>
              <w:t xml:space="preserve">значение стандартного образца, стабильность стандартного образца, однородность стабильного* образца, </w:t>
            </w:r>
            <w:proofErr w:type="spellStart"/>
            <w:r>
              <w:rPr>
                <w:sz w:val="18"/>
                <w:szCs w:val="18"/>
              </w:rPr>
              <w:t>характеризация</w:t>
            </w:r>
            <w:proofErr w:type="spellEnd"/>
            <w:r>
              <w:rPr>
                <w:sz w:val="18"/>
                <w:szCs w:val="18"/>
              </w:rPr>
              <w:t xml:space="preserve"> стандартного образца, аттестация стандартного образца, сертификация стандартного образца </w:t>
            </w:r>
          </w:p>
        </w:tc>
      </w:tr>
    </w:tbl>
    <w:p w:rsidR="00000000" w:rsidRDefault="005829C2">
      <w:pPr>
        <w:pStyle w:val="a3"/>
      </w:pPr>
    </w:p>
    <w:p w:rsidR="00000000" w:rsidRDefault="005829C2">
      <w:pPr>
        <w:pStyle w:val="FORMATTEXT"/>
        <w:jc w:val="both"/>
      </w:pPr>
      <w:r>
        <w:t xml:space="preserve">________________ </w:t>
      </w:r>
    </w:p>
    <w:p w:rsidR="00AC1147" w:rsidRDefault="005829C2" w:rsidP="00AC1147">
      <w:pPr>
        <w:pStyle w:val="FORMATTEXT"/>
        <w:ind w:firstLine="568"/>
        <w:jc w:val="both"/>
      </w:pPr>
      <w:r>
        <w:t>* Текст документа соответствуе</w:t>
      </w:r>
      <w:r>
        <w:t>т оригиналу. - Приме</w:t>
      </w:r>
      <w:r w:rsidR="00AC1147">
        <w:t xml:space="preserve">чание изготовителя базы </w:t>
      </w:r>
      <w:r w:rsidR="00AC1147" w:rsidRPr="00AC1147">
        <w:t>данных</w:t>
      </w:r>
      <w:hyperlink r:id="rId190" w:history="1">
        <w:r w:rsidR="00AC1147" w:rsidRPr="00AC1147">
          <w:rPr>
            <w:rStyle w:val="a4"/>
            <w:u w:val="none"/>
          </w:rPr>
          <w:t>.</w:t>
        </w:r>
      </w:hyperlink>
    </w:p>
    <w:p w:rsidR="005829C2" w:rsidRDefault="005829C2" w:rsidP="002E1D3F">
      <w:pPr>
        <w:pStyle w:val="FORMATTEXT"/>
        <w:ind w:firstLine="568"/>
        <w:jc w:val="both"/>
      </w:pPr>
      <w:r>
        <w:t xml:space="preserve"> </w:t>
      </w:r>
    </w:p>
    <w:sectPr w:rsidR="005829C2">
      <w:type w:val="continuous"/>
      <w:pgSz w:w="11907" w:h="16840"/>
      <w:pgMar w:top="850" w:right="850"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D3F"/>
    <w:rsid w:val="002E1D3F"/>
    <w:rsid w:val="005829C2"/>
    <w:rsid w:val="00862BD0"/>
    <w:rsid w:val="00AC11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7924A8-7ACE-4CD1-98EE-2D488C3A2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w:hAnsi="Arial" w:cs="Arial"/>
      <w:sz w:val="24"/>
      <w:szCs w:val="24"/>
    </w:rPr>
  </w:style>
  <w:style w:type="paragraph" w:customStyle="1" w:styleId="COLTOP">
    <w:name w:val="#COL_TOP"/>
    <w:uiPriority w:val="99"/>
    <w:pPr>
      <w:widowControl w:val="0"/>
      <w:autoSpaceDE w:val="0"/>
      <w:autoSpaceDN w:val="0"/>
      <w:adjustRightInd w:val="0"/>
      <w:spacing w:after="0" w:line="240" w:lineRule="auto"/>
    </w:pPr>
    <w:rPr>
      <w:rFonts w:ascii="Arial" w:hAnsi="Arial" w:cs="Arial"/>
      <w:sz w:val="24"/>
      <w:szCs w:val="24"/>
    </w:rPr>
  </w:style>
  <w:style w:type="paragraph" w:customStyle="1" w:styleId="PRINTSECTION">
    <w:name w:val="#PRINT_SECTION"/>
    <w:uiPriority w:val="99"/>
    <w:pPr>
      <w:widowControl w:val="0"/>
      <w:autoSpaceDE w:val="0"/>
      <w:autoSpaceDN w:val="0"/>
      <w:adjustRightInd w:val="0"/>
      <w:spacing w:after="0" w:line="240" w:lineRule="auto"/>
    </w:pPr>
    <w:rPr>
      <w:rFonts w:ascii="Arial" w:hAnsi="Arial" w:cs="Arial"/>
      <w:sz w:val="24"/>
      <w:szCs w:val="24"/>
    </w:rPr>
  </w:style>
  <w:style w:type="paragraph" w:customStyle="1" w:styleId="a3">
    <w:name w:val="."/>
    <w:uiPriority w:val="99"/>
    <w:pPr>
      <w:widowControl w:val="0"/>
      <w:autoSpaceDE w:val="0"/>
      <w:autoSpaceDN w:val="0"/>
      <w:adjustRightInd w:val="0"/>
      <w:spacing w:after="0" w:line="240" w:lineRule="auto"/>
    </w:pPr>
    <w:rPr>
      <w:rFonts w:ascii="Arial" w:hAnsi="Arial" w:cs="Arial"/>
      <w:sz w:val="24"/>
      <w:szCs w:val="24"/>
    </w:rPr>
  </w:style>
  <w:style w:type="paragraph" w:customStyle="1" w:styleId="A4WIDTH">
    <w:name w:val=".A4WIDTH"/>
    <w:uiPriority w:val="99"/>
    <w:pPr>
      <w:widowControl w:val="0"/>
      <w:autoSpaceDE w:val="0"/>
      <w:autoSpaceDN w:val="0"/>
      <w:adjustRightInd w:val="0"/>
      <w:spacing w:after="0" w:line="240" w:lineRule="auto"/>
    </w:pPr>
    <w:rPr>
      <w:rFonts w:ascii="Arial" w:hAnsi="Arial" w:cs="Arial"/>
      <w:sz w:val="24"/>
      <w:szCs w:val="24"/>
    </w:rPr>
  </w:style>
  <w:style w:type="paragraph" w:customStyle="1" w:styleId="CENTERTEXT">
    <w:name w:val=".CENTERTEXT"/>
    <w:uiPriority w:val="99"/>
    <w:pPr>
      <w:widowControl w:val="0"/>
      <w:autoSpaceDE w:val="0"/>
      <w:autoSpaceDN w:val="0"/>
      <w:adjustRightInd w:val="0"/>
      <w:spacing w:after="0" w:line="240" w:lineRule="auto"/>
    </w:pPr>
    <w:rPr>
      <w:rFonts w:ascii="Arial" w:hAnsi="Arial" w:cs="Arial"/>
      <w:sz w:val="24"/>
      <w:szCs w:val="24"/>
    </w:rPr>
  </w:style>
  <w:style w:type="paragraph" w:customStyle="1" w:styleId="CONTAINER">
    <w:name w:val=".CONTAINER"/>
    <w:uiPriority w:val="99"/>
    <w:pPr>
      <w:widowControl w:val="0"/>
      <w:autoSpaceDE w:val="0"/>
      <w:autoSpaceDN w:val="0"/>
      <w:adjustRightInd w:val="0"/>
      <w:spacing w:after="0" w:line="240" w:lineRule="auto"/>
    </w:pPr>
    <w:rPr>
      <w:rFonts w:ascii="Arial" w:hAnsi="Arial" w:cs="Arial"/>
      <w:sz w:val="24"/>
      <w:szCs w:val="24"/>
    </w:rPr>
  </w:style>
  <w:style w:type="paragraph" w:customStyle="1" w:styleId="CONTENT">
    <w:name w:val=".CONTENT"/>
    <w:uiPriority w:val="99"/>
    <w:pPr>
      <w:widowControl w:val="0"/>
      <w:autoSpaceDE w:val="0"/>
      <w:autoSpaceDN w:val="0"/>
      <w:adjustRightInd w:val="0"/>
      <w:spacing w:after="0" w:line="240" w:lineRule="auto"/>
    </w:pPr>
    <w:rPr>
      <w:rFonts w:ascii="Arial" w:hAnsi="Arial" w:cs="Arial"/>
      <w:sz w:val="24"/>
      <w:szCs w:val="24"/>
    </w:rPr>
  </w:style>
  <w:style w:type="paragraph" w:customStyle="1" w:styleId="DJVU">
    <w:name w:val=".DJVU"/>
    <w:uiPriority w:val="99"/>
    <w:pPr>
      <w:widowControl w:val="0"/>
      <w:autoSpaceDE w:val="0"/>
      <w:autoSpaceDN w:val="0"/>
      <w:adjustRightInd w:val="0"/>
      <w:spacing w:after="0" w:line="240" w:lineRule="auto"/>
    </w:pPr>
    <w:rPr>
      <w:rFonts w:ascii="Arial" w:hAnsi="Arial" w:cs="Arial"/>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w:hAnsi="Arial" w:cs="Arial"/>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w:hAnsi="Arial" w:cs="Arial"/>
      <w:sz w:val="24"/>
      <w:szCs w:val="24"/>
    </w:rPr>
  </w:style>
  <w:style w:type="paragraph" w:customStyle="1" w:styleId="IMAGE">
    <w:name w:val=".IMAGE"/>
    <w:uiPriority w:val="99"/>
    <w:pPr>
      <w:widowControl w:val="0"/>
      <w:autoSpaceDE w:val="0"/>
      <w:autoSpaceDN w:val="0"/>
      <w:adjustRightInd w:val="0"/>
      <w:spacing w:after="0" w:line="240" w:lineRule="auto"/>
    </w:pPr>
    <w:rPr>
      <w:rFonts w:ascii="Arial" w:hAnsi="Arial" w:cs="Arial"/>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w:hAnsi="Arial" w:cs="Arial"/>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w:hAnsi="Arial" w:cs="Arial"/>
      <w:sz w:val="24"/>
      <w:szCs w:val="24"/>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PAGE">
    <w:name w:val="@PAGE"/>
    <w:uiPriority w:val="99"/>
    <w:pPr>
      <w:widowControl w:val="0"/>
      <w:autoSpaceDE w:val="0"/>
      <w:autoSpaceDN w:val="0"/>
      <w:adjustRightInd w:val="0"/>
      <w:spacing w:after="0" w:line="240" w:lineRule="auto"/>
    </w:pPr>
    <w:rPr>
      <w:rFonts w:ascii="Arial" w:hAnsi="Arial" w:cs="Arial"/>
      <w:sz w:val="24"/>
      <w:szCs w:val="24"/>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w:hAnsi="Arial" w:cs="Arial"/>
      <w:sz w:val="24"/>
      <w:szCs w:val="24"/>
    </w:rPr>
  </w:style>
  <w:style w:type="paragraph" w:customStyle="1" w:styleId="TABLE">
    <w:name w:val="TABLE"/>
    <w:uiPriority w:val="99"/>
    <w:pPr>
      <w:widowControl w:val="0"/>
      <w:autoSpaceDE w:val="0"/>
      <w:autoSpaceDN w:val="0"/>
      <w:adjustRightInd w:val="0"/>
      <w:spacing w:after="0" w:line="240" w:lineRule="auto"/>
    </w:pPr>
    <w:rPr>
      <w:rFonts w:ascii="Arial" w:hAnsi="Arial" w:cs="Arial"/>
      <w:sz w:val="24"/>
      <w:szCs w:val="24"/>
    </w:rPr>
  </w:style>
  <w:style w:type="character" w:styleId="a4">
    <w:name w:val="Hyperlink"/>
    <w:basedOn w:val="a0"/>
    <w:uiPriority w:val="99"/>
    <w:unhideWhenUsed/>
    <w:rsid w:val="00AC11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gif"/><Relationship Id="rId117" Type="http://schemas.openxmlformats.org/officeDocument/2006/relationships/image" Target="media/image113.gif"/><Relationship Id="rId21" Type="http://schemas.openxmlformats.org/officeDocument/2006/relationships/image" Target="media/image17.gif"/><Relationship Id="rId42" Type="http://schemas.openxmlformats.org/officeDocument/2006/relationships/image" Target="media/image38.gif"/><Relationship Id="rId47" Type="http://schemas.openxmlformats.org/officeDocument/2006/relationships/image" Target="media/image43.gif"/><Relationship Id="rId63" Type="http://schemas.openxmlformats.org/officeDocument/2006/relationships/image" Target="media/image59.gif"/><Relationship Id="rId68" Type="http://schemas.openxmlformats.org/officeDocument/2006/relationships/image" Target="media/image64.gif"/><Relationship Id="rId84" Type="http://schemas.openxmlformats.org/officeDocument/2006/relationships/image" Target="media/image80.gif"/><Relationship Id="rId89" Type="http://schemas.openxmlformats.org/officeDocument/2006/relationships/image" Target="media/image85.gif"/><Relationship Id="rId112" Type="http://schemas.openxmlformats.org/officeDocument/2006/relationships/image" Target="media/image108.gif"/><Relationship Id="rId133" Type="http://schemas.openxmlformats.org/officeDocument/2006/relationships/image" Target="media/image129.gif"/><Relationship Id="rId138" Type="http://schemas.openxmlformats.org/officeDocument/2006/relationships/image" Target="media/image134.gif"/><Relationship Id="rId154" Type="http://schemas.openxmlformats.org/officeDocument/2006/relationships/image" Target="media/image150.gif"/><Relationship Id="rId159" Type="http://schemas.openxmlformats.org/officeDocument/2006/relationships/image" Target="media/image155.gif"/><Relationship Id="rId175" Type="http://schemas.openxmlformats.org/officeDocument/2006/relationships/image" Target="media/image171.gif"/><Relationship Id="rId170" Type="http://schemas.openxmlformats.org/officeDocument/2006/relationships/image" Target="media/image166.gif"/><Relationship Id="rId191" Type="http://schemas.openxmlformats.org/officeDocument/2006/relationships/fontTable" Target="fontTable.xml"/><Relationship Id="rId16" Type="http://schemas.openxmlformats.org/officeDocument/2006/relationships/image" Target="media/image12.gif"/><Relationship Id="rId107" Type="http://schemas.openxmlformats.org/officeDocument/2006/relationships/image" Target="media/image103.gif"/><Relationship Id="rId11" Type="http://schemas.openxmlformats.org/officeDocument/2006/relationships/image" Target="media/image7.gif"/><Relationship Id="rId32" Type="http://schemas.openxmlformats.org/officeDocument/2006/relationships/image" Target="media/image28.gif"/><Relationship Id="rId37" Type="http://schemas.openxmlformats.org/officeDocument/2006/relationships/image" Target="media/image33.gif"/><Relationship Id="rId53" Type="http://schemas.openxmlformats.org/officeDocument/2006/relationships/image" Target="media/image49.gif"/><Relationship Id="rId58" Type="http://schemas.openxmlformats.org/officeDocument/2006/relationships/image" Target="media/image54.gif"/><Relationship Id="rId74" Type="http://schemas.openxmlformats.org/officeDocument/2006/relationships/image" Target="media/image70.gif"/><Relationship Id="rId79" Type="http://schemas.openxmlformats.org/officeDocument/2006/relationships/image" Target="media/image75.gif"/><Relationship Id="rId102" Type="http://schemas.openxmlformats.org/officeDocument/2006/relationships/image" Target="media/image98.gif"/><Relationship Id="rId123" Type="http://schemas.openxmlformats.org/officeDocument/2006/relationships/image" Target="media/image119.gif"/><Relationship Id="rId128" Type="http://schemas.openxmlformats.org/officeDocument/2006/relationships/image" Target="media/image124.gif"/><Relationship Id="rId144" Type="http://schemas.openxmlformats.org/officeDocument/2006/relationships/image" Target="media/image140.gif"/><Relationship Id="rId149" Type="http://schemas.openxmlformats.org/officeDocument/2006/relationships/image" Target="media/image145.gif"/><Relationship Id="rId5" Type="http://schemas.openxmlformats.org/officeDocument/2006/relationships/image" Target="media/image1.gif"/><Relationship Id="rId90" Type="http://schemas.openxmlformats.org/officeDocument/2006/relationships/image" Target="media/image86.gif"/><Relationship Id="rId95" Type="http://schemas.openxmlformats.org/officeDocument/2006/relationships/image" Target="media/image91.gif"/><Relationship Id="rId160" Type="http://schemas.openxmlformats.org/officeDocument/2006/relationships/image" Target="media/image156.gif"/><Relationship Id="rId165" Type="http://schemas.openxmlformats.org/officeDocument/2006/relationships/image" Target="media/image161.gif"/><Relationship Id="rId181" Type="http://schemas.openxmlformats.org/officeDocument/2006/relationships/image" Target="media/image177.gif"/><Relationship Id="rId186" Type="http://schemas.openxmlformats.org/officeDocument/2006/relationships/image" Target="media/image182.gif"/><Relationship Id="rId22" Type="http://schemas.openxmlformats.org/officeDocument/2006/relationships/image" Target="media/image18.gif"/><Relationship Id="rId27" Type="http://schemas.openxmlformats.org/officeDocument/2006/relationships/image" Target="media/image23.gif"/><Relationship Id="rId43" Type="http://schemas.openxmlformats.org/officeDocument/2006/relationships/image" Target="media/image39.gif"/><Relationship Id="rId48" Type="http://schemas.openxmlformats.org/officeDocument/2006/relationships/image" Target="media/image44.gif"/><Relationship Id="rId64" Type="http://schemas.openxmlformats.org/officeDocument/2006/relationships/image" Target="media/image60.gif"/><Relationship Id="rId69" Type="http://schemas.openxmlformats.org/officeDocument/2006/relationships/image" Target="media/image65.gif"/><Relationship Id="rId113" Type="http://schemas.openxmlformats.org/officeDocument/2006/relationships/image" Target="media/image109.gif"/><Relationship Id="rId118" Type="http://schemas.openxmlformats.org/officeDocument/2006/relationships/image" Target="media/image114.gif"/><Relationship Id="rId134" Type="http://schemas.openxmlformats.org/officeDocument/2006/relationships/image" Target="media/image130.gif"/><Relationship Id="rId139" Type="http://schemas.openxmlformats.org/officeDocument/2006/relationships/image" Target="media/image135.gif"/><Relationship Id="rId80" Type="http://schemas.openxmlformats.org/officeDocument/2006/relationships/image" Target="media/image76.gif"/><Relationship Id="rId85" Type="http://schemas.openxmlformats.org/officeDocument/2006/relationships/image" Target="media/image81.gif"/><Relationship Id="rId150" Type="http://schemas.openxmlformats.org/officeDocument/2006/relationships/image" Target="media/image146.gif"/><Relationship Id="rId155" Type="http://schemas.openxmlformats.org/officeDocument/2006/relationships/image" Target="media/image151.gif"/><Relationship Id="rId171" Type="http://schemas.openxmlformats.org/officeDocument/2006/relationships/image" Target="media/image167.gif"/><Relationship Id="rId176" Type="http://schemas.openxmlformats.org/officeDocument/2006/relationships/image" Target="media/image172.gif"/><Relationship Id="rId192" Type="http://schemas.openxmlformats.org/officeDocument/2006/relationships/theme" Target="theme/theme1.xml"/><Relationship Id="rId12" Type="http://schemas.openxmlformats.org/officeDocument/2006/relationships/image" Target="media/image8.gif"/><Relationship Id="rId17" Type="http://schemas.openxmlformats.org/officeDocument/2006/relationships/image" Target="media/image13.gif"/><Relationship Id="rId33" Type="http://schemas.openxmlformats.org/officeDocument/2006/relationships/image" Target="media/image29.gif"/><Relationship Id="rId38" Type="http://schemas.openxmlformats.org/officeDocument/2006/relationships/image" Target="media/image34.gif"/><Relationship Id="rId59" Type="http://schemas.openxmlformats.org/officeDocument/2006/relationships/image" Target="media/image55.gif"/><Relationship Id="rId103" Type="http://schemas.openxmlformats.org/officeDocument/2006/relationships/image" Target="media/image99.gif"/><Relationship Id="rId108" Type="http://schemas.openxmlformats.org/officeDocument/2006/relationships/image" Target="media/image104.gif"/><Relationship Id="rId124" Type="http://schemas.openxmlformats.org/officeDocument/2006/relationships/image" Target="media/image120.gif"/><Relationship Id="rId129" Type="http://schemas.openxmlformats.org/officeDocument/2006/relationships/image" Target="media/image125.gif"/><Relationship Id="rId54" Type="http://schemas.openxmlformats.org/officeDocument/2006/relationships/image" Target="media/image50.gif"/><Relationship Id="rId70" Type="http://schemas.openxmlformats.org/officeDocument/2006/relationships/image" Target="media/image66.gif"/><Relationship Id="rId75" Type="http://schemas.openxmlformats.org/officeDocument/2006/relationships/image" Target="media/image71.gif"/><Relationship Id="rId91" Type="http://schemas.openxmlformats.org/officeDocument/2006/relationships/image" Target="media/image87.gif"/><Relationship Id="rId96" Type="http://schemas.openxmlformats.org/officeDocument/2006/relationships/image" Target="media/image92.gif"/><Relationship Id="rId140" Type="http://schemas.openxmlformats.org/officeDocument/2006/relationships/image" Target="media/image136.gif"/><Relationship Id="rId145" Type="http://schemas.openxmlformats.org/officeDocument/2006/relationships/image" Target="media/image141.gif"/><Relationship Id="rId161" Type="http://schemas.openxmlformats.org/officeDocument/2006/relationships/image" Target="media/image157.gif"/><Relationship Id="rId166" Type="http://schemas.openxmlformats.org/officeDocument/2006/relationships/image" Target="media/image162.gif"/><Relationship Id="rId182" Type="http://schemas.openxmlformats.org/officeDocument/2006/relationships/image" Target="media/image178.gif"/><Relationship Id="rId187" Type="http://schemas.openxmlformats.org/officeDocument/2006/relationships/image" Target="media/image183.gif"/><Relationship Id="rId1" Type="http://schemas.openxmlformats.org/officeDocument/2006/relationships/styles" Target="styles.xml"/><Relationship Id="rId6" Type="http://schemas.openxmlformats.org/officeDocument/2006/relationships/image" Target="media/image2.gif"/><Relationship Id="rId23" Type="http://schemas.openxmlformats.org/officeDocument/2006/relationships/image" Target="media/image19.gif"/><Relationship Id="rId28" Type="http://schemas.openxmlformats.org/officeDocument/2006/relationships/image" Target="media/image24.gif"/><Relationship Id="rId49" Type="http://schemas.openxmlformats.org/officeDocument/2006/relationships/image" Target="media/image45.gif"/><Relationship Id="rId114" Type="http://schemas.openxmlformats.org/officeDocument/2006/relationships/image" Target="media/image110.gif"/><Relationship Id="rId119" Type="http://schemas.openxmlformats.org/officeDocument/2006/relationships/image" Target="media/image115.gif"/><Relationship Id="rId44" Type="http://schemas.openxmlformats.org/officeDocument/2006/relationships/image" Target="media/image40.gif"/><Relationship Id="rId60" Type="http://schemas.openxmlformats.org/officeDocument/2006/relationships/image" Target="media/image56.gif"/><Relationship Id="rId65" Type="http://schemas.openxmlformats.org/officeDocument/2006/relationships/image" Target="media/image61.gif"/><Relationship Id="rId81" Type="http://schemas.openxmlformats.org/officeDocument/2006/relationships/image" Target="media/image77.gif"/><Relationship Id="rId86" Type="http://schemas.openxmlformats.org/officeDocument/2006/relationships/image" Target="media/image82.gif"/><Relationship Id="rId130" Type="http://schemas.openxmlformats.org/officeDocument/2006/relationships/image" Target="media/image126.gif"/><Relationship Id="rId135" Type="http://schemas.openxmlformats.org/officeDocument/2006/relationships/image" Target="media/image131.gif"/><Relationship Id="rId151" Type="http://schemas.openxmlformats.org/officeDocument/2006/relationships/image" Target="media/image147.gif"/><Relationship Id="rId156" Type="http://schemas.openxmlformats.org/officeDocument/2006/relationships/image" Target="media/image152.gif"/><Relationship Id="rId177" Type="http://schemas.openxmlformats.org/officeDocument/2006/relationships/image" Target="media/image173.gif"/><Relationship Id="rId172" Type="http://schemas.openxmlformats.org/officeDocument/2006/relationships/image" Target="media/image168.gif"/><Relationship Id="rId13" Type="http://schemas.openxmlformats.org/officeDocument/2006/relationships/image" Target="media/image9.gif"/><Relationship Id="rId18" Type="http://schemas.openxmlformats.org/officeDocument/2006/relationships/image" Target="media/image14.gif"/><Relationship Id="rId39" Type="http://schemas.openxmlformats.org/officeDocument/2006/relationships/image" Target="media/image35.gif"/><Relationship Id="rId109" Type="http://schemas.openxmlformats.org/officeDocument/2006/relationships/image" Target="media/image105.gif"/><Relationship Id="rId34" Type="http://schemas.openxmlformats.org/officeDocument/2006/relationships/image" Target="media/image30.gif"/><Relationship Id="rId50" Type="http://schemas.openxmlformats.org/officeDocument/2006/relationships/image" Target="media/image46.gif"/><Relationship Id="rId55" Type="http://schemas.openxmlformats.org/officeDocument/2006/relationships/image" Target="media/image51.gif"/><Relationship Id="rId76" Type="http://schemas.openxmlformats.org/officeDocument/2006/relationships/image" Target="media/image72.gif"/><Relationship Id="rId97" Type="http://schemas.openxmlformats.org/officeDocument/2006/relationships/image" Target="media/image93.gif"/><Relationship Id="rId104" Type="http://schemas.openxmlformats.org/officeDocument/2006/relationships/image" Target="media/image100.gif"/><Relationship Id="rId120" Type="http://schemas.openxmlformats.org/officeDocument/2006/relationships/image" Target="media/image116.gif"/><Relationship Id="rId125" Type="http://schemas.openxmlformats.org/officeDocument/2006/relationships/image" Target="media/image121.gif"/><Relationship Id="rId141" Type="http://schemas.openxmlformats.org/officeDocument/2006/relationships/image" Target="media/image137.gif"/><Relationship Id="rId146" Type="http://schemas.openxmlformats.org/officeDocument/2006/relationships/image" Target="media/image142.gif"/><Relationship Id="rId167" Type="http://schemas.openxmlformats.org/officeDocument/2006/relationships/image" Target="media/image163.gif"/><Relationship Id="rId188" Type="http://schemas.openxmlformats.org/officeDocument/2006/relationships/image" Target="media/image184.gif"/><Relationship Id="rId7" Type="http://schemas.openxmlformats.org/officeDocument/2006/relationships/image" Target="media/image3.gif"/><Relationship Id="rId71" Type="http://schemas.openxmlformats.org/officeDocument/2006/relationships/image" Target="media/image67.gif"/><Relationship Id="rId92" Type="http://schemas.openxmlformats.org/officeDocument/2006/relationships/image" Target="media/image88.gif"/><Relationship Id="rId162" Type="http://schemas.openxmlformats.org/officeDocument/2006/relationships/image" Target="media/image158.gif"/><Relationship Id="rId183" Type="http://schemas.openxmlformats.org/officeDocument/2006/relationships/image" Target="media/image179.gif"/><Relationship Id="rId2" Type="http://schemas.openxmlformats.org/officeDocument/2006/relationships/settings" Target="settings.xml"/><Relationship Id="rId29" Type="http://schemas.openxmlformats.org/officeDocument/2006/relationships/image" Target="media/image25.gif"/><Relationship Id="rId24" Type="http://schemas.openxmlformats.org/officeDocument/2006/relationships/image" Target="media/image20.gif"/><Relationship Id="rId40" Type="http://schemas.openxmlformats.org/officeDocument/2006/relationships/image" Target="media/image36.gif"/><Relationship Id="rId45" Type="http://schemas.openxmlformats.org/officeDocument/2006/relationships/image" Target="media/image41.gif"/><Relationship Id="rId66" Type="http://schemas.openxmlformats.org/officeDocument/2006/relationships/image" Target="media/image62.gif"/><Relationship Id="rId87" Type="http://schemas.openxmlformats.org/officeDocument/2006/relationships/image" Target="media/image83.gif"/><Relationship Id="rId110" Type="http://schemas.openxmlformats.org/officeDocument/2006/relationships/image" Target="media/image106.gif"/><Relationship Id="rId115" Type="http://schemas.openxmlformats.org/officeDocument/2006/relationships/image" Target="media/image111.gif"/><Relationship Id="rId131" Type="http://schemas.openxmlformats.org/officeDocument/2006/relationships/image" Target="media/image127.gif"/><Relationship Id="rId136" Type="http://schemas.openxmlformats.org/officeDocument/2006/relationships/image" Target="media/image132.gif"/><Relationship Id="rId157" Type="http://schemas.openxmlformats.org/officeDocument/2006/relationships/image" Target="media/image153.gif"/><Relationship Id="rId178" Type="http://schemas.openxmlformats.org/officeDocument/2006/relationships/image" Target="media/image174.gif"/><Relationship Id="rId61" Type="http://schemas.openxmlformats.org/officeDocument/2006/relationships/image" Target="media/image57.gif"/><Relationship Id="rId82" Type="http://schemas.openxmlformats.org/officeDocument/2006/relationships/image" Target="media/image78.gif"/><Relationship Id="rId152" Type="http://schemas.openxmlformats.org/officeDocument/2006/relationships/image" Target="media/image148.gif"/><Relationship Id="rId173" Type="http://schemas.openxmlformats.org/officeDocument/2006/relationships/image" Target="media/image169.gif"/><Relationship Id="rId19" Type="http://schemas.openxmlformats.org/officeDocument/2006/relationships/image" Target="media/image15.gif"/><Relationship Id="rId14" Type="http://schemas.openxmlformats.org/officeDocument/2006/relationships/image" Target="media/image10.gif"/><Relationship Id="rId30" Type="http://schemas.openxmlformats.org/officeDocument/2006/relationships/image" Target="media/image26.gif"/><Relationship Id="rId35" Type="http://schemas.openxmlformats.org/officeDocument/2006/relationships/image" Target="media/image31.gif"/><Relationship Id="rId56" Type="http://schemas.openxmlformats.org/officeDocument/2006/relationships/image" Target="media/image52.gif"/><Relationship Id="rId77" Type="http://schemas.openxmlformats.org/officeDocument/2006/relationships/image" Target="media/image73.gif"/><Relationship Id="rId100" Type="http://schemas.openxmlformats.org/officeDocument/2006/relationships/image" Target="media/image96.gif"/><Relationship Id="rId105" Type="http://schemas.openxmlformats.org/officeDocument/2006/relationships/image" Target="media/image101.gif"/><Relationship Id="rId126" Type="http://schemas.openxmlformats.org/officeDocument/2006/relationships/image" Target="media/image122.gif"/><Relationship Id="rId147" Type="http://schemas.openxmlformats.org/officeDocument/2006/relationships/image" Target="media/image143.gif"/><Relationship Id="rId168" Type="http://schemas.openxmlformats.org/officeDocument/2006/relationships/image" Target="media/image164.gif"/><Relationship Id="rId8" Type="http://schemas.openxmlformats.org/officeDocument/2006/relationships/image" Target="media/image4.gif"/><Relationship Id="rId51" Type="http://schemas.openxmlformats.org/officeDocument/2006/relationships/image" Target="media/image47.gif"/><Relationship Id="rId72" Type="http://schemas.openxmlformats.org/officeDocument/2006/relationships/image" Target="media/image68.gif"/><Relationship Id="rId93" Type="http://schemas.openxmlformats.org/officeDocument/2006/relationships/image" Target="media/image89.gif"/><Relationship Id="rId98" Type="http://schemas.openxmlformats.org/officeDocument/2006/relationships/image" Target="media/image94.gif"/><Relationship Id="rId121" Type="http://schemas.openxmlformats.org/officeDocument/2006/relationships/image" Target="media/image117.gif"/><Relationship Id="rId142" Type="http://schemas.openxmlformats.org/officeDocument/2006/relationships/image" Target="media/image138.gif"/><Relationship Id="rId163" Type="http://schemas.openxmlformats.org/officeDocument/2006/relationships/image" Target="media/image159.gif"/><Relationship Id="rId184" Type="http://schemas.openxmlformats.org/officeDocument/2006/relationships/image" Target="media/image180.gif"/><Relationship Id="rId189" Type="http://schemas.openxmlformats.org/officeDocument/2006/relationships/image" Target="media/image185.gif"/><Relationship Id="rId3" Type="http://schemas.openxmlformats.org/officeDocument/2006/relationships/webSettings" Target="webSettings.xml"/><Relationship Id="rId25" Type="http://schemas.openxmlformats.org/officeDocument/2006/relationships/image" Target="media/image21.gif"/><Relationship Id="rId46" Type="http://schemas.openxmlformats.org/officeDocument/2006/relationships/image" Target="media/image42.gif"/><Relationship Id="rId67" Type="http://schemas.openxmlformats.org/officeDocument/2006/relationships/image" Target="media/image63.gif"/><Relationship Id="rId116" Type="http://schemas.openxmlformats.org/officeDocument/2006/relationships/image" Target="media/image112.gif"/><Relationship Id="rId137" Type="http://schemas.openxmlformats.org/officeDocument/2006/relationships/image" Target="media/image133.gif"/><Relationship Id="rId158" Type="http://schemas.openxmlformats.org/officeDocument/2006/relationships/image" Target="media/image154.gif"/><Relationship Id="rId20" Type="http://schemas.openxmlformats.org/officeDocument/2006/relationships/image" Target="media/image16.gif"/><Relationship Id="rId41" Type="http://schemas.openxmlformats.org/officeDocument/2006/relationships/image" Target="media/image37.gif"/><Relationship Id="rId62" Type="http://schemas.openxmlformats.org/officeDocument/2006/relationships/image" Target="media/image58.gif"/><Relationship Id="rId83" Type="http://schemas.openxmlformats.org/officeDocument/2006/relationships/image" Target="media/image79.gif"/><Relationship Id="rId88" Type="http://schemas.openxmlformats.org/officeDocument/2006/relationships/image" Target="media/image84.gif"/><Relationship Id="rId111" Type="http://schemas.openxmlformats.org/officeDocument/2006/relationships/image" Target="media/image107.gif"/><Relationship Id="rId132" Type="http://schemas.openxmlformats.org/officeDocument/2006/relationships/image" Target="media/image128.gif"/><Relationship Id="rId153" Type="http://schemas.openxmlformats.org/officeDocument/2006/relationships/image" Target="media/image149.gif"/><Relationship Id="rId174" Type="http://schemas.openxmlformats.org/officeDocument/2006/relationships/image" Target="media/image170.gif"/><Relationship Id="rId179" Type="http://schemas.openxmlformats.org/officeDocument/2006/relationships/image" Target="media/image175.gif"/><Relationship Id="rId190" Type="http://schemas.openxmlformats.org/officeDocument/2006/relationships/hyperlink" Target="https://rosakkreditatsiya-forum.ru" TargetMode="External"/><Relationship Id="rId15" Type="http://schemas.openxmlformats.org/officeDocument/2006/relationships/image" Target="media/image11.gif"/><Relationship Id="rId36" Type="http://schemas.openxmlformats.org/officeDocument/2006/relationships/image" Target="media/image32.gif"/><Relationship Id="rId57" Type="http://schemas.openxmlformats.org/officeDocument/2006/relationships/image" Target="media/image53.gif"/><Relationship Id="rId106" Type="http://schemas.openxmlformats.org/officeDocument/2006/relationships/image" Target="media/image102.gif"/><Relationship Id="rId127" Type="http://schemas.openxmlformats.org/officeDocument/2006/relationships/image" Target="media/image123.gif"/><Relationship Id="rId10" Type="http://schemas.openxmlformats.org/officeDocument/2006/relationships/image" Target="media/image6.gif"/><Relationship Id="rId31" Type="http://schemas.openxmlformats.org/officeDocument/2006/relationships/image" Target="media/image27.gif"/><Relationship Id="rId52" Type="http://schemas.openxmlformats.org/officeDocument/2006/relationships/image" Target="media/image48.gif"/><Relationship Id="rId73" Type="http://schemas.openxmlformats.org/officeDocument/2006/relationships/image" Target="media/image69.gif"/><Relationship Id="rId78" Type="http://schemas.openxmlformats.org/officeDocument/2006/relationships/image" Target="media/image74.gif"/><Relationship Id="rId94" Type="http://schemas.openxmlformats.org/officeDocument/2006/relationships/image" Target="media/image90.gif"/><Relationship Id="rId99" Type="http://schemas.openxmlformats.org/officeDocument/2006/relationships/image" Target="media/image95.gif"/><Relationship Id="rId101" Type="http://schemas.openxmlformats.org/officeDocument/2006/relationships/image" Target="media/image97.gif"/><Relationship Id="rId122" Type="http://schemas.openxmlformats.org/officeDocument/2006/relationships/image" Target="media/image118.gif"/><Relationship Id="rId143" Type="http://schemas.openxmlformats.org/officeDocument/2006/relationships/image" Target="media/image139.gif"/><Relationship Id="rId148" Type="http://schemas.openxmlformats.org/officeDocument/2006/relationships/image" Target="media/image144.gif"/><Relationship Id="rId164" Type="http://schemas.openxmlformats.org/officeDocument/2006/relationships/image" Target="media/image160.gif"/><Relationship Id="rId169" Type="http://schemas.openxmlformats.org/officeDocument/2006/relationships/image" Target="media/image165.gif"/><Relationship Id="rId185" Type="http://schemas.openxmlformats.org/officeDocument/2006/relationships/image" Target="media/image181.gif"/><Relationship Id="rId4" Type="http://schemas.openxmlformats.org/officeDocument/2006/relationships/hyperlink" Target="https://rosakkreditatsiya-forum.ru" TargetMode="External"/><Relationship Id="rId9" Type="http://schemas.openxmlformats.org/officeDocument/2006/relationships/image" Target="media/image5.gif"/><Relationship Id="rId180" Type="http://schemas.openxmlformats.org/officeDocument/2006/relationships/image" Target="media/image176.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69</Pages>
  <Words>30535</Words>
  <Characters>174055</Characters>
  <Application>Microsoft Office Word</Application>
  <DocSecurity>0</DocSecurity>
  <Lines>1450</Lines>
  <Paragraphs>408</Paragraphs>
  <ScaleCrop>false</ScaleCrop>
  <HeadingPairs>
    <vt:vector size="2" baseType="variant">
      <vt:variant>
        <vt:lpstr>Название</vt:lpstr>
      </vt:variant>
      <vt:variant>
        <vt:i4>1</vt:i4>
      </vt:variant>
    </vt:vector>
  </HeadingPairs>
  <TitlesOfParts>
    <vt:vector size="1" baseType="lpstr">
      <vt:lpstr>ГОСТ ISO Guide 35-2015 Стандартные образцы. Общие и статистические принципы сертификации (аттестации) </vt:lpstr>
    </vt:vector>
  </TitlesOfParts>
  <Company/>
  <LinksUpToDate>false</LinksUpToDate>
  <CharactersWithSpaces>204182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ГОСТ ISO Guide 35-2015 Стандартные образцы. Общие и статистические принципы сертификации (аттестации)</dc:title>
  <dc:subject/>
  <dc:creator>User</dc:creator>
  <cp:keywords>Стандартные образцы;Общие и статистические принципы;ГОСТ ISO Guide 35-2015</cp:keywords>
  <dc:description/>
  <cp:lastModifiedBy>User</cp:lastModifiedBy>
  <cp:revision>3</cp:revision>
  <dcterms:created xsi:type="dcterms:W3CDTF">2017-10-04T19:46:00Z</dcterms:created>
  <dcterms:modified xsi:type="dcterms:W3CDTF">2017-10-04T19:48:00Z</dcterms:modified>
</cp:coreProperties>
</file>