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4536">
      <w:pPr>
        <w:pStyle w:val="FORMATTEXT"/>
        <w:jc w:val="right"/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34536">
      <w:pPr>
        <w:pStyle w:val="FORMATTEXT"/>
        <w:jc w:val="right"/>
      </w:pPr>
      <w:r>
        <w:t>ГОСТ Р 55268-2012</w:t>
      </w:r>
    </w:p>
    <w:p w:rsidR="00000000" w:rsidRDefault="00634536">
      <w:pPr>
        <w:pStyle w:val="FORMATTEXT"/>
        <w:jc w:val="right"/>
      </w:pPr>
    </w:p>
    <w:p w:rsidR="00000000" w:rsidRDefault="00634536">
      <w:pPr>
        <w:pStyle w:val="FORMATTEXT"/>
        <w:jc w:val="right"/>
      </w:pPr>
      <w:r>
        <w:t>Группа Т59</w:t>
      </w: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>НАЦИОНАЛЬНЫЙ СТАНДАРТ РОССИЙСКОЙ ФЕДЕРАЦИИ</w:t>
      </w:r>
    </w:p>
    <w:p w:rsidR="00000000" w:rsidRDefault="00634536">
      <w:pPr>
        <w:pStyle w:val="HEADERTEXT"/>
        <w:jc w:val="center"/>
        <w:rPr>
          <w:b/>
          <w:bCs/>
        </w:rPr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СИСТЕМЫ МЕНЕДЖМЕНТА ОРГАНИЗАЦИЙ</w:t>
      </w: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Рекомендации по проведению </w:t>
      </w:r>
      <w:bookmarkStart w:id="0" w:name="_GoBack"/>
      <w:r>
        <w:rPr>
          <w:b/>
          <w:bCs/>
        </w:rPr>
        <w:t>анализа со стороны руководства</w:t>
      </w:r>
      <w:bookmarkEnd w:id="0"/>
    </w:p>
    <w:p w:rsidR="00000000" w:rsidRDefault="00634536">
      <w:pPr>
        <w:pStyle w:val="HEADERTEXT"/>
        <w:rPr>
          <w:b/>
          <w:bCs/>
        </w:rPr>
      </w:pPr>
    </w:p>
    <w:p w:rsidR="00000000" w:rsidRPr="006349EE" w:rsidRDefault="00634536">
      <w:pPr>
        <w:pStyle w:val="HEADERTEXT"/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6349EE">
        <w:rPr>
          <w:b/>
          <w:bCs/>
          <w:lang w:val="en-US"/>
        </w:rPr>
        <w:t>Organiza</w:t>
      </w:r>
      <w:r w:rsidRPr="006349EE">
        <w:rPr>
          <w:b/>
          <w:bCs/>
          <w:lang w:val="en-US"/>
        </w:rPr>
        <w:t xml:space="preserve">tion management systems. Guidelines on management review </w:t>
      </w:r>
    </w:p>
    <w:p w:rsidR="00000000" w:rsidRDefault="00634536">
      <w:pPr>
        <w:pStyle w:val="FORMATTEXT"/>
        <w:jc w:val="both"/>
      </w:pPr>
      <w:r>
        <w:t>ОКС 03.120.10</w:t>
      </w:r>
    </w:p>
    <w:p w:rsidR="00000000" w:rsidRDefault="00634536">
      <w:pPr>
        <w:pStyle w:val="FORMATTEXT"/>
        <w:jc w:val="both"/>
      </w:pPr>
      <w:r>
        <w:t xml:space="preserve">ОКСТУ 0025 </w:t>
      </w:r>
    </w:p>
    <w:p w:rsidR="00000000" w:rsidRDefault="00634536">
      <w:pPr>
        <w:pStyle w:val="FORMATTEXT"/>
        <w:jc w:val="right"/>
      </w:pPr>
      <w:r>
        <w:t xml:space="preserve">Дата введения 2013-06-01 </w:t>
      </w: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Предисловие </w:t>
      </w:r>
    </w:p>
    <w:p w:rsidR="00000000" w:rsidRDefault="00634536">
      <w:pPr>
        <w:pStyle w:val="FORMATTEXT"/>
        <w:ind w:firstLine="568"/>
        <w:jc w:val="both"/>
      </w:pPr>
      <w:r>
        <w:t>1 РАЗРАБОТАН Открытым акционерным обществом "Всероссийский научно-исследовательский институт сертификации" (ОАО "ВНИИС</w:t>
      </w:r>
      <w:r>
        <w:t>")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2 ВНЕСЕН Управлением технического регулирования и стандартизации Федерального агентства по техническому регулированию и метрологии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3 УТВЕРЖДЕН И ВВЕДЕН В ДЕЙСТВИЕ </w:t>
      </w:r>
      <w:r>
        <w:rPr>
          <w:color w:val="0000AA"/>
          <w:u w:val="single"/>
        </w:rPr>
        <w:t>Приказом Федерального агентства по техническому регулированию и метрологии от 29 ноября 2012 г. N 1399-ст</w:t>
      </w:r>
      <w:r>
        <w:rPr>
          <w:color w:val="0000FF"/>
          <w:u w:val="single"/>
        </w:rPr>
        <w:t xml:space="preserve"> 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4 ВВЕДЕН ВПЕРВЫЕ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rPr>
          <w:i/>
          <w:iCs/>
        </w:rPr>
        <w:t>Правила применения настоящего стандарта установлены в</w:t>
      </w:r>
      <w:r>
        <w:rPr>
          <w:i/>
          <w:iCs/>
        </w:rPr>
        <w:t xml:space="preserve"> </w:t>
      </w:r>
      <w:r>
        <w:rPr>
          <w:color w:val="0000AA"/>
          <w:u w:val="single"/>
        </w:rPr>
        <w:t>ГОСТ Р 1.0-</w:t>
      </w:r>
      <w:proofErr w:type="gramStart"/>
      <w:r>
        <w:rPr>
          <w:color w:val="0000AA"/>
          <w:u w:val="single"/>
        </w:rPr>
        <w:t>2012</w:t>
      </w:r>
      <w:r>
        <w:rPr>
          <w:color w:val="0000FF"/>
          <w:u w:val="single"/>
        </w:rPr>
        <w:t xml:space="preserve">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>раздел 8). Инфо</w:t>
      </w:r>
      <w:r>
        <w:rPr>
          <w:i/>
          <w:iCs/>
        </w:rPr>
        <w:t xml:space="preserve">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</w:t>
      </w:r>
      <w:r>
        <w:rPr>
          <w:i/>
          <w:iCs/>
        </w:rPr>
        <w:t>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</w:t>
      </w:r>
      <w:r>
        <w:rPr>
          <w:i/>
          <w:iCs/>
        </w:rPr>
        <w:t>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Введение </w:t>
      </w:r>
    </w:p>
    <w:p w:rsidR="00000000" w:rsidRDefault="00634536">
      <w:pPr>
        <w:pStyle w:val="FORMATTEXT"/>
        <w:ind w:firstLine="568"/>
        <w:jc w:val="both"/>
      </w:pPr>
      <w:r>
        <w:t>Важнейшим элементом любой системы менеджмента является ее периодичес</w:t>
      </w:r>
      <w:r>
        <w:t>кий анализ, проводимый высшим руководством организации. Требования к такому анализу установлены во всех стандартах на системы менеджмента (ИСО 9001*, ИСО 14001, ИСО 27001, ИСО 50001, OHSAS 18000 и др.). Целью анализа является оценка информации о функционир</w:t>
      </w:r>
      <w:r>
        <w:t xml:space="preserve">овании системы менеджмента и подготовка решений по ее улучшению и повышению результативности. 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Обобщение и анализ опыта российских организаций по проведению анализа со стороны руководства в рамках различных систем менеджмента по та</w:t>
      </w:r>
      <w:r>
        <w:t>ким аспектам деятельности организаций, как качество, экология, охрана труда и защита информации позволили подготовить настоящие рекомендации, которые могут быть использованы как при анализе системы менеджмента организации в целом, так и отдельных ее аспект</w:t>
      </w:r>
      <w:r>
        <w:t>ов.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:rsidR="00000000" w:rsidRDefault="00634536">
      <w:pPr>
        <w:pStyle w:val="FORMATTEXT"/>
        <w:ind w:firstLine="568"/>
        <w:jc w:val="both"/>
      </w:pPr>
      <w:r>
        <w:t>Настоящий стандарт содержит рекомендации по проведению анализа системы менеджмента со стороны руководства, применимые к любой организации независимо от ее размеров, типа и вида деятельности.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Настоящий стандарт не предназн</w:t>
      </w:r>
      <w:r>
        <w:t>ачен для сертификации, регулятивных или договорных целей.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Нормативные ссылки </w:t>
      </w:r>
    </w:p>
    <w:p w:rsidR="00000000" w:rsidRDefault="00634536">
      <w:pPr>
        <w:pStyle w:val="FORMATTEXT"/>
        <w:ind w:firstLine="568"/>
        <w:jc w:val="both"/>
      </w:pPr>
      <w:r>
        <w:t>Указанный ниже ссылочный документ необходим для использования настоящего стандарта. Для датированных ссылок применяют только указанную версию. Для недатированных ссылок</w:t>
      </w:r>
      <w:r>
        <w:t xml:space="preserve"> необходимо использовать последнее издание документа (включая любые поправки).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ГОСТ ISD 9000-2011* Системы менеджмента качества. Основные положения и словарь. </w:t>
      </w:r>
      <w:r>
        <w:rPr>
          <w:color w:val="0000FF"/>
          <w:u w:val="single"/>
        </w:rPr>
        <w:t xml:space="preserve"> </w:t>
      </w:r>
    </w:p>
    <w:p w:rsidR="00000000" w:rsidRDefault="00634536">
      <w:pPr>
        <w:pStyle w:val="FORMATTEXT"/>
        <w:jc w:val="both"/>
      </w:pPr>
      <w:r>
        <w:t xml:space="preserve">________________ </w:t>
      </w:r>
    </w:p>
    <w:p w:rsidR="00000000" w:rsidRDefault="00634536">
      <w:pPr>
        <w:pStyle w:val="FORMATTEXT"/>
        <w:ind w:firstLine="568"/>
        <w:jc w:val="both"/>
      </w:pPr>
      <w:r>
        <w:t xml:space="preserve">* Вероятно ошибка оригинала. Следует читать: </w:t>
      </w:r>
      <w:r>
        <w:rPr>
          <w:color w:val="0000AA"/>
          <w:u w:val="single"/>
        </w:rPr>
        <w:t>ГОСТ ISO 9000-</w:t>
      </w:r>
      <w:proofErr w:type="gramStart"/>
      <w:r>
        <w:rPr>
          <w:color w:val="0000AA"/>
          <w:u w:val="single"/>
        </w:rPr>
        <w:t>2011</w:t>
      </w:r>
      <w:r>
        <w:rPr>
          <w:color w:val="0000FF"/>
          <w:u w:val="single"/>
        </w:rPr>
        <w:t xml:space="preserve"> </w:t>
      </w:r>
      <w:r>
        <w:t>.</w:t>
      </w:r>
      <w:proofErr w:type="gramEnd"/>
      <w:r>
        <w:t xml:space="preserve"> - Примечание изготовителя базы данных. </w:t>
      </w:r>
    </w:p>
    <w:p w:rsidR="00000000" w:rsidRDefault="00634536">
      <w:pPr>
        <w:pStyle w:val="FORMATTEXT"/>
        <w:jc w:val="both"/>
      </w:pPr>
      <w:r>
        <w:t xml:space="preserve">            </w:t>
      </w:r>
    </w:p>
    <w:p w:rsidR="00000000" w:rsidRDefault="00634536">
      <w:pPr>
        <w:pStyle w:val="FORMATTEXT"/>
        <w:ind w:firstLine="568"/>
        <w:jc w:val="both"/>
      </w:pPr>
      <w:r>
        <w:t>Примечание - При пользовании настоящим ста</w:t>
      </w:r>
      <w:r>
        <w:t>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</w:t>
      </w:r>
      <w:r>
        <w:t>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ссылка, то ре</w:t>
      </w:r>
      <w:r>
        <w:t>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</w:t>
      </w:r>
      <w:r>
        <w:t xml:space="preserve">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</w:t>
      </w:r>
      <w:r>
        <w:t>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Термины и определения </w:t>
      </w:r>
    </w:p>
    <w:p w:rsidR="00000000" w:rsidRDefault="00634536">
      <w:pPr>
        <w:pStyle w:val="FORMATTEXT"/>
        <w:ind w:firstLine="568"/>
        <w:jc w:val="both"/>
      </w:pPr>
      <w:r>
        <w:t xml:space="preserve">В настоящем стандарте применены термины и определения по </w:t>
      </w:r>
      <w:r>
        <w:rPr>
          <w:color w:val="0000AA"/>
          <w:u w:val="single"/>
        </w:rPr>
        <w:t xml:space="preserve">ГОСТ ISO </w:t>
      </w:r>
      <w:proofErr w:type="gramStart"/>
      <w:r>
        <w:rPr>
          <w:color w:val="0000AA"/>
          <w:u w:val="single"/>
        </w:rPr>
        <w:t>9000</w:t>
      </w:r>
      <w:r>
        <w:rPr>
          <w:color w:val="0000FF"/>
          <w:u w:val="single"/>
        </w:rPr>
        <w:t xml:space="preserve"> </w:t>
      </w:r>
      <w:r>
        <w:t>.</w:t>
      </w:r>
      <w:proofErr w:type="gramEnd"/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Общие положения </w:t>
      </w:r>
    </w:p>
    <w:p w:rsidR="00000000" w:rsidRDefault="00634536">
      <w:pPr>
        <w:pStyle w:val="FORMATTEXT"/>
        <w:ind w:firstLine="568"/>
        <w:jc w:val="both"/>
      </w:pPr>
      <w:r>
        <w:t xml:space="preserve">4.1 </w:t>
      </w:r>
      <w:r>
        <w:t>Целью анализа системы менеджмента со стороны руководства является обеспечение ее постоянной пригодности, достаточности, результативности и эффективности.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4.2 Анализ включает в себя подготовку входных данных, их обобщение, предварительный анализ данных каж</w:t>
      </w:r>
      <w:r>
        <w:t>дым из входящих в состав высшего руководства организации руководителей, коллегиальное обсуждение входных данных, принятие и оформление решений.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4.3 Коллегиальное обсуждение входных данных, как правило, осуществляется на совещаниях, подготавливаемых и пров</w:t>
      </w:r>
      <w:r>
        <w:t>одимых в соответствии с рекомендациями, приведенными в разделе 5.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При этом в рамках одного совещания могут быть рассмотрены не все элементы системы менеджмента и аспекты деятельности организации, а также соответствующие входные данные.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4.4 Состав руковод</w:t>
      </w:r>
      <w:r>
        <w:t>ителей, участвующих в проведении анализа, устанавливается высшим должностным лицом организации. При этом состав участников проведения анализа по различным аспектам деятельности организации может быть разным. Руководитель, проводящий совещание по анализу си</w:t>
      </w:r>
      <w:r>
        <w:t xml:space="preserve">стемы менеджмента, может расширять круг участников с </w:t>
      </w:r>
      <w:r w:rsidR="006349EE">
        <w:t>учетом рассматриваемых вопросов</w:t>
      </w:r>
      <w:hyperlink r:id="rId6" w:history="1">
        <w:r w:rsidR="006349EE" w:rsidRPr="006349EE">
          <w:rPr>
            <w:rStyle w:val="a8"/>
            <w:color w:val="auto"/>
            <w:u w:val="none"/>
          </w:rPr>
          <w:t>.</w:t>
        </w:r>
      </w:hyperlink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4.5 Для обеспечения подготовки и проведения анализа со стороны руководства и оформления его результатов высшее должностное лицо организации устанавливает ответственное(</w:t>
      </w:r>
      <w:proofErr w:type="spellStart"/>
      <w:r>
        <w:t>ы</w:t>
      </w:r>
      <w:r>
        <w:t>е</w:t>
      </w:r>
      <w:proofErr w:type="spellEnd"/>
      <w:r>
        <w:t>) подразделение(я) или должностное(</w:t>
      </w:r>
      <w:proofErr w:type="spellStart"/>
      <w:r>
        <w:t>ые</w:t>
      </w:r>
      <w:proofErr w:type="spellEnd"/>
      <w:r>
        <w:t>) лицо(а) (далее - ответственное подразделение).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Порядок подготовки и проведения анализа со стороны руководства </w:t>
      </w:r>
    </w:p>
    <w:p w:rsidR="00000000" w:rsidRDefault="00634536">
      <w:pPr>
        <w:pStyle w:val="FORMATTEXT"/>
        <w:ind w:firstLine="568"/>
        <w:jc w:val="both"/>
      </w:pPr>
      <w:r>
        <w:t>5.1 При проведении анализа со стороны руководства входными данными могут быть следующие: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сте</w:t>
      </w:r>
      <w:r>
        <w:t>пень достижения целей и выполнения задач;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обратная связь с потребителями и другими заинтересованными сторонами;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функционирование процессов и соответствие продукции;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- результаты внутренних и внешних аудитов, в </w:t>
      </w:r>
      <w:proofErr w:type="spellStart"/>
      <w:r>
        <w:t>т.ч</w:t>
      </w:r>
      <w:proofErr w:type="spellEnd"/>
      <w:r>
        <w:t>. на соответствие внедренным в орган</w:t>
      </w:r>
      <w:r>
        <w:t>изации стандартам на системы менеджмента;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статус предупреждающих и корректирующих действий;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последующие действия, вытекающие из предыдущих анализов со стороны руководства;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- изменения, которые могут влиять на систему менеджмента;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- рекомендации по </w:t>
      </w:r>
      <w:r>
        <w:t>улучшению</w:t>
      </w:r>
      <w:hyperlink r:id="rId7" w:history="1">
        <w:r w:rsidRPr="006349EE">
          <w:rPr>
            <w:rStyle w:val="a8"/>
            <w:color w:val="auto"/>
            <w:u w:val="none"/>
          </w:rPr>
          <w:t>.</w:t>
        </w:r>
      </w:hyperlink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Примеры каждого из вышеуказанных видов входных данных приведены в приложении А.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Должна быть установлена (определена) ответственность за представление каждого вида входных данных внутри организации.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5.2 Периодичность, с которой при проведении </w:t>
      </w:r>
      <w:r>
        <w:t>анализа рассматривается деятельность организации по каждому аспекту деятельности (качество, экология, охрана труда, защита информации и др.), определяет руководство с учетом таких факторов, как изменчивость среды организации, этап, на котором находится сис</w:t>
      </w:r>
      <w:r>
        <w:t>тема менеджмента (устойчивое функционирование или внедрение изменений). При этом каждый вид входных данных по каждому аспекту деятельности организации следует анализировать не реже одного раза в год.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5.3 Для проведения анализа со стороны руководства руков</w:t>
      </w:r>
      <w:r>
        <w:t>одители процессов и подразделений в установленные сроки или по запросу подготавливают входные данные в произвольной или установленной в организации форме и направляют их в ответственное подразделение.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При подготовке входных данных, их анализе и обосновани</w:t>
      </w:r>
      <w:r>
        <w:t>и рекомендаций по улучшению целесообразно использовать апробированные методы анализа данных, такие, например, как графики, гистограммы, диаграммы разброса, диаграммы Парето, причинно-следственные диаграммы, диаграммы сродства, графы связей.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По показателям</w:t>
      </w:r>
      <w:r>
        <w:t xml:space="preserve"> результативности и эффективности процессов и по ключевым показателям деятельности организации целесообразно оценивать тенденции их изменения за анализируемый период времени, проводить сравнения с их целевыми значениями и показателями других организаций, в</w:t>
      </w:r>
      <w:r>
        <w:t xml:space="preserve"> </w:t>
      </w:r>
      <w:proofErr w:type="spellStart"/>
      <w:r>
        <w:t>т.ч</w:t>
      </w:r>
      <w:proofErr w:type="spellEnd"/>
      <w:r>
        <w:t>. лучших в классе.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Правильно подготовленные входные данные, включая рекомендации по улучшению, должны способствовать обоснованному определению руководством организации приоритетных направлений и мер по улучшению системы менеджмента.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5.4 Ответственное</w:t>
      </w:r>
      <w:r>
        <w:t xml:space="preserve"> подразделение обобщает входные данные, проверяет их на соответствие установленным в организации требованиям или сложившейся практике. При необходимости ответственное подразделение запрашивает дополнительную информацию от руководителей процессов и подразде</w:t>
      </w:r>
      <w:r>
        <w:t>лений.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Рекомендации по улучшению, содержащиеся в представленных руководителями процессов и подразделений входных данных, ответственное подразделение оформляет в виде проекта решения, включающего в себя предлагаемые мероприятия, а также ответственных лиц и</w:t>
      </w:r>
      <w:r>
        <w:t xml:space="preserve"> необходимые ресурсы.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Обобщенные входные данные, включая предлагаемые решения, в форме специального отчета (на бумажном носителе или в электронном формате) направляют должностным лицам, входящим в состав высшего руководства организации, для предварительно</w:t>
      </w:r>
      <w:r>
        <w:t>го ознакомления и анализа в установленный срок.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 xml:space="preserve">5.5 Высшее должностное лицо или уполномоченный им руководитель из состава высшего руководства в установленный срок проводит совещание высшего руководства организации, на котором рассматривают подготовленные </w:t>
      </w:r>
      <w:r>
        <w:t>входные данные и рекомендации по улучшению. По результатам обсуждения принимаются решения по мероприятиям, их исполнителям и необходимым ресурсам.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5.6 Ответственное подразделение оформляет принятые решения установленным образом и рассылает исполнителям, р</w:t>
      </w:r>
      <w:r>
        <w:t>уководителям и лицам, ответственным за процессы доведения этих решений до сведения персонала.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ind w:firstLine="568"/>
        <w:jc w:val="both"/>
      </w:pPr>
      <w:r>
        <w:t>Отчеты с входными данными и оформленные решения следует хранить в соответствии с установленными в организации требованиями.</w:t>
      </w:r>
    </w:p>
    <w:p w:rsidR="00000000" w:rsidRDefault="00634536">
      <w:pPr>
        <w:pStyle w:val="FORMATTEXT"/>
        <w:ind w:firstLine="568"/>
        <w:jc w:val="both"/>
      </w:pPr>
    </w:p>
    <w:p w:rsidR="00000000" w:rsidRDefault="00634536">
      <w:pPr>
        <w:pStyle w:val="FORMATTEXT"/>
        <w:jc w:val="center"/>
      </w:pPr>
      <w:r>
        <w:t>Приложение В*</w:t>
      </w:r>
    </w:p>
    <w:p w:rsidR="00000000" w:rsidRDefault="00634536">
      <w:pPr>
        <w:pStyle w:val="FORMATTEXT"/>
        <w:jc w:val="center"/>
      </w:pPr>
      <w:r>
        <w:t xml:space="preserve">(справочное) </w:t>
      </w:r>
    </w:p>
    <w:p w:rsidR="00000000" w:rsidRDefault="00634536">
      <w:pPr>
        <w:pStyle w:val="FORMATTEXT"/>
      </w:pPr>
      <w:r>
        <w:t>________</w:t>
      </w:r>
      <w:r>
        <w:t>________</w:t>
      </w:r>
    </w:p>
    <w:p w:rsidR="00000000" w:rsidRDefault="00634536">
      <w:pPr>
        <w:pStyle w:val="FORMATTEXT"/>
      </w:pPr>
      <w:r>
        <w:t xml:space="preserve">     * Обозначение приложения соответствует оригиналу. - Примечание изготовителя базы данных. </w:t>
      </w:r>
    </w:p>
    <w:p w:rsidR="00000000" w:rsidRDefault="00634536">
      <w:pPr>
        <w:pStyle w:val="HEADERTEXT"/>
        <w:rPr>
          <w:b/>
          <w:bCs/>
        </w:rPr>
      </w:pP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345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Содержание входных данных для проведения анализа со стороны руководства </w:t>
      </w:r>
    </w:p>
    <w:p w:rsidR="00000000" w:rsidRDefault="00634536">
      <w:pPr>
        <w:pStyle w:val="FORMATTEXT"/>
        <w:jc w:val="both"/>
      </w:pPr>
      <w:r>
        <w:t>Таблица А.1 - Входные данные для проведения анализа со стороны руководс</w:t>
      </w:r>
      <w:r>
        <w:t>тва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5"/>
        <w:gridCol w:w="439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информации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информации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проведения анализа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достижения целей и выполнение задач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ключевых показателей деятельности организации.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плановых показателей по различным аспектам (качество, эколо</w:t>
            </w:r>
            <w:r>
              <w:rPr>
                <w:sz w:val="18"/>
                <w:szCs w:val="18"/>
              </w:rPr>
              <w:t>гия, охрана труда и др.) и направлениям деятельности.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важнейших плановых мероприятий по различным аспектам и направлениям деятельности.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Ресурсы, использованные для достижения целей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Обратная связь от потребителей и других заинтерес</w:t>
            </w:r>
            <w:r>
              <w:rPr>
                <w:sz w:val="18"/>
                <w:szCs w:val="18"/>
              </w:rPr>
              <w:t xml:space="preserve">ованных сторон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Жалобы и благодарности потребителей.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мониторинга удовлетворенности потребителей и других заинтересованных сторон.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полученная от заинтересованных сторон по различным каналам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</w:t>
            </w:r>
            <w:r>
              <w:rPr>
                <w:sz w:val="18"/>
                <w:szCs w:val="18"/>
              </w:rPr>
              <w:t xml:space="preserve">процессов и соответствие продукции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целевых показателей по процессам жизненного цикла продукции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взаимодействие с потребителями, проектирование и разработка, закупки, производство, хранение, поставка, обслуживание, утилизация).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</w:t>
            </w:r>
            <w:r>
              <w:rPr>
                <w:sz w:val="18"/>
                <w:szCs w:val="18"/>
              </w:rPr>
              <w:t xml:space="preserve">ствия процессов жизненного цикла продукции,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требованиям применяемых в организации стандартов на системы менеджмента.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Несоответствия продукции по результатам входного контроля, операционного контроля, окончательного контроля.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Рекламации потребителе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внутренних и внешних аудитов,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на соответствие внедренным в организации стандартам на системы менеджмента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 виды аудитов.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 характер выявленных несоответствий, их причины.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корректирующ</w:t>
            </w:r>
            <w:r>
              <w:rPr>
                <w:sz w:val="18"/>
                <w:szCs w:val="18"/>
              </w:rPr>
              <w:t>ие и предупреждающие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полугодие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предупреждающих и корректирующих действий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Ход выполнения ранее запланированных корректирующих и предупреждающих действий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Последующие действия, вытекающие из предыдущих анализов со ст</w:t>
            </w:r>
            <w:r>
              <w:rPr>
                <w:sz w:val="18"/>
                <w:szCs w:val="18"/>
              </w:rPr>
              <w:t>ороны руководства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Ход выполнения решений, принятых по результатам предыдущих анализов со стороны руководства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Изменения, которые могут влиять на систему менеджмента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законодательных и иных требований, которые организация обязалась</w:t>
            </w:r>
            <w:r>
              <w:rPr>
                <w:sz w:val="18"/>
                <w:szCs w:val="18"/>
              </w:rPr>
              <w:t xml:space="preserve"> выполнить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стандартов на системы менеджмента, применяемые в организации.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Мнения заинтересованных сторон.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Перспективы, вытекающие из результатов исследования рынка, научных исследований и разработок.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Уроки, извлеченные из аварий и нештатных си</w:t>
            </w:r>
            <w:r>
              <w:rPr>
                <w:sz w:val="18"/>
                <w:szCs w:val="18"/>
              </w:rPr>
              <w:t>туаций.</w:t>
            </w:r>
          </w:p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Новые риски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полугодие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Рекомендации по улучшению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 по улучшению процессов и других элементов системы, требующие решения со стороны высшего руководства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345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необходимости, но не реже одного раза в год от каждого руководителя </w:t>
            </w:r>
            <w:r>
              <w:rPr>
                <w:sz w:val="18"/>
                <w:szCs w:val="18"/>
              </w:rPr>
              <w:t>процесса или подразделения</w:t>
            </w:r>
          </w:p>
        </w:tc>
      </w:tr>
    </w:tbl>
    <w:p w:rsidR="00634536" w:rsidRDefault="006345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634536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36" w:rsidRDefault="00634536">
      <w:pPr>
        <w:spacing w:after="0" w:line="240" w:lineRule="auto"/>
      </w:pPr>
      <w:r>
        <w:separator/>
      </w:r>
    </w:p>
  </w:endnote>
  <w:endnote w:type="continuationSeparator" w:id="0">
    <w:p w:rsidR="00634536" w:rsidRDefault="0063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4536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36" w:rsidRDefault="00634536">
      <w:pPr>
        <w:spacing w:after="0" w:line="240" w:lineRule="auto"/>
      </w:pPr>
      <w:r>
        <w:separator/>
      </w:r>
    </w:p>
  </w:footnote>
  <w:footnote w:type="continuationSeparator" w:id="0">
    <w:p w:rsidR="00634536" w:rsidRDefault="0063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4536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ГОСТ Р 55268-2012 Системы менеджмента организаций. Рекомендации по проведению анализа со стороны руководства</w:t>
    </w:r>
  </w:p>
  <w:p w:rsidR="00000000" w:rsidRDefault="00634536">
    <w:pPr>
      <w:pStyle w:val="COLTOP"/>
    </w:pPr>
    <w:r>
      <w:rPr>
        <w:rFonts w:cs="Arial, sans-serif"/>
        <w:i/>
        <w:iCs/>
        <w:sz w:val="16"/>
        <w:szCs w:val="16"/>
      </w:rPr>
      <w:t>Применяется с 01.06.2013</w:t>
    </w:r>
  </w:p>
  <w:p w:rsidR="00000000" w:rsidRDefault="00634536">
    <w:pPr>
      <w:pStyle w:val="PAGENUM"/>
      <w:jc w:val="right"/>
    </w:pPr>
    <w:r>
      <w:t>Страница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E"/>
    <w:rsid w:val="00634536"/>
    <w:rsid w:val="006349EE"/>
    <w:rsid w:val="00A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816579-5ADB-4239-95E6-38D1CA5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9EE"/>
  </w:style>
  <w:style w:type="paragraph" w:styleId="a6">
    <w:name w:val="footer"/>
    <w:basedOn w:val="a"/>
    <w:link w:val="a7"/>
    <w:uiPriority w:val="99"/>
    <w:unhideWhenUsed/>
    <w:rsid w:val="0063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9EE"/>
  </w:style>
  <w:style w:type="character" w:styleId="a8">
    <w:name w:val="Hyperlink"/>
    <w:basedOn w:val="a0"/>
    <w:uiPriority w:val="99"/>
    <w:unhideWhenUsed/>
    <w:rsid w:val="00634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akkreditatsiya-forum.ru/viewtopic.php?t=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akkreditatsiya-forum.ru/viewtopic.php?t=23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ГОСТ Р 55268-2012 Системы менеджмента организаций. Рекомендации по проведению анализа со стороны руководства </vt:lpstr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55268-2012 Системы менеджмента организаций. Рекомендации по проведению анализа со стороны руководства</dc:title>
  <dc:subject/>
  <dc:creator>Cristal</dc:creator>
  <cp:keywords>Анализ со стороны руководства;СМК</cp:keywords>
  <dc:description/>
  <cp:lastModifiedBy>Cristal</cp:lastModifiedBy>
  <cp:revision>2</cp:revision>
  <dcterms:created xsi:type="dcterms:W3CDTF">2018-02-07T06:45:00Z</dcterms:created>
  <dcterms:modified xsi:type="dcterms:W3CDTF">2018-02-07T06:45:00Z</dcterms:modified>
</cp:coreProperties>
</file>