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68A9">
      <w:pPr>
        <w:pStyle w:val="FORMATTEXT"/>
        <w:jc w:val="right"/>
      </w:pPr>
      <w:r>
        <w:rPr>
          <w:sz w:val="24"/>
          <w:szCs w:val="24"/>
        </w:rPr>
        <w:t xml:space="preserve">  </w:t>
      </w:r>
    </w:p>
    <w:p w:rsidR="00000000" w:rsidRDefault="008F68A9">
      <w:pPr>
        <w:pStyle w:val="FORMATTEXT"/>
        <w:jc w:val="right"/>
      </w:pPr>
      <w:r>
        <w:t>     ГОСТ Р 54500.1-2011/Руководство ИСО/МЭК 98-1:2009</w:t>
      </w:r>
    </w:p>
    <w:p w:rsidR="00000000" w:rsidRDefault="008F68A9">
      <w:pPr>
        <w:pStyle w:val="FORMATTEXT"/>
        <w:jc w:val="right"/>
      </w:pPr>
    </w:p>
    <w:p w:rsidR="00000000" w:rsidRDefault="008F68A9">
      <w:pPr>
        <w:pStyle w:val="FORMATTEXT"/>
        <w:jc w:val="right"/>
      </w:pPr>
      <w:r>
        <w:t xml:space="preserve">Группа Т80 </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w:t>
      </w:r>
    </w:p>
    <w:p w:rsidR="00000000" w:rsidRDefault="008F68A9">
      <w:pPr>
        <w:pStyle w:val="HEADERTEXT"/>
        <w:jc w:val="center"/>
        <w:rPr>
          <w:b/>
          <w:bCs/>
          <w:color w:val="000001"/>
        </w:rPr>
      </w:pPr>
      <w:r>
        <w:rPr>
          <w:b/>
          <w:bCs/>
          <w:color w:val="000001"/>
        </w:rPr>
        <w:t>     </w:t>
      </w:r>
    </w:p>
    <w:p w:rsidR="00000000" w:rsidRDefault="008F68A9">
      <w:pPr>
        <w:pStyle w:val="HEADERTEXT"/>
        <w:jc w:val="center"/>
        <w:rPr>
          <w:b/>
          <w:bCs/>
          <w:color w:val="000001"/>
        </w:rPr>
      </w:pPr>
      <w:r>
        <w:rPr>
          <w:b/>
          <w:bCs/>
          <w:color w:val="000001"/>
        </w:rPr>
        <w:t>НАЦИОНАЛЬНЫЙ СТАНДАРТ РОССИЙСКО</w:t>
      </w:r>
      <w:r>
        <w:rPr>
          <w:b/>
          <w:bCs/>
          <w:color w:val="000001"/>
        </w:rPr>
        <w:t>Й ФЕДЕРАЦИИ</w:t>
      </w:r>
    </w:p>
    <w:p w:rsidR="00000000" w:rsidRDefault="008F68A9">
      <w:pPr>
        <w:pStyle w:val="HEADERTEXT"/>
        <w:jc w:val="center"/>
        <w:rPr>
          <w:b/>
          <w:bCs/>
          <w:color w:val="000001"/>
        </w:rPr>
      </w:pP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НЕОПРЕДЕЛЕННОСТЬ ИЗМЕРЕНИЯ</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Часть 1</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Введение в руководства по неопределенности измерения</w:t>
      </w:r>
    </w:p>
    <w:p w:rsidR="00000000" w:rsidRDefault="008F68A9">
      <w:pPr>
        <w:pStyle w:val="HEADERTEXT"/>
        <w:rPr>
          <w:b/>
          <w:bCs/>
          <w:color w:val="000001"/>
        </w:rPr>
      </w:pPr>
    </w:p>
    <w:p w:rsidR="00000000" w:rsidRPr="00EB1B82" w:rsidRDefault="008F68A9">
      <w:pPr>
        <w:pStyle w:val="HEADERTEXT"/>
        <w:jc w:val="center"/>
        <w:rPr>
          <w:b/>
          <w:bCs/>
          <w:color w:val="000001"/>
          <w:lang w:val="en-US"/>
        </w:rPr>
      </w:pPr>
      <w:r>
        <w:rPr>
          <w:b/>
          <w:bCs/>
          <w:color w:val="000001"/>
        </w:rPr>
        <w:t xml:space="preserve"> </w:t>
      </w:r>
      <w:r w:rsidRPr="00EB1B82">
        <w:rPr>
          <w:b/>
          <w:bCs/>
          <w:color w:val="000001"/>
          <w:lang w:val="en-US"/>
        </w:rPr>
        <w:t xml:space="preserve">Uncertainty of measurement. Part 1. Introduction to guides on uncertainty in measurement </w:t>
      </w:r>
    </w:p>
    <w:p w:rsidR="00000000" w:rsidRDefault="008F68A9">
      <w:pPr>
        <w:pStyle w:val="FORMATTEXT"/>
        <w:jc w:val="both"/>
      </w:pPr>
      <w:r>
        <w:t xml:space="preserve">ОКС 17.020 </w:t>
      </w:r>
    </w:p>
    <w:p w:rsidR="00000000" w:rsidRDefault="008F68A9">
      <w:pPr>
        <w:pStyle w:val="FORMATTEXT"/>
        <w:jc w:val="right"/>
      </w:pPr>
      <w:r>
        <w:t xml:space="preserve">Дата введения 2012-10-01 </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w:t>
      </w:r>
    </w:p>
    <w:p w:rsidR="00000000" w:rsidRDefault="008F68A9">
      <w:pPr>
        <w:pStyle w:val="HEADERTEXT"/>
        <w:jc w:val="center"/>
        <w:rPr>
          <w:b/>
          <w:bCs/>
          <w:color w:val="000001"/>
        </w:rPr>
      </w:pPr>
      <w:r>
        <w:rPr>
          <w:b/>
          <w:bCs/>
          <w:color w:val="000001"/>
        </w:rPr>
        <w:t>     </w:t>
      </w:r>
    </w:p>
    <w:p w:rsidR="00000000" w:rsidRDefault="008F68A9">
      <w:pPr>
        <w:pStyle w:val="HEADERTEXT"/>
        <w:jc w:val="center"/>
        <w:rPr>
          <w:b/>
          <w:bCs/>
          <w:color w:val="000001"/>
        </w:rPr>
      </w:pPr>
      <w:r>
        <w:rPr>
          <w:b/>
          <w:bCs/>
          <w:color w:val="000001"/>
        </w:rPr>
        <w:t>Преди</w:t>
      </w:r>
      <w:r>
        <w:rPr>
          <w:b/>
          <w:bCs/>
          <w:color w:val="000001"/>
        </w:rPr>
        <w:t xml:space="preserve">словие </w:t>
      </w:r>
    </w:p>
    <w:p w:rsidR="00000000" w:rsidRDefault="008F68A9">
      <w:pPr>
        <w:pStyle w:val="FORMATTEXT"/>
        <w:ind w:firstLine="568"/>
        <w:jc w:val="both"/>
      </w:pPr>
      <w:r>
        <w:t xml:space="preserve">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Р 1.0-2004 "Стандартизация </w:t>
      </w:r>
      <w:r>
        <w:t>в Российской Федерации. Основные положения"</w:t>
      </w:r>
    </w:p>
    <w:p w:rsidR="00000000" w:rsidRDefault="008F68A9">
      <w:pPr>
        <w:pStyle w:val="FORMATTEXT"/>
        <w:ind w:firstLine="568"/>
        <w:jc w:val="both"/>
      </w:pPr>
    </w:p>
    <w:p w:rsidR="00000000" w:rsidRDefault="008F68A9">
      <w:pPr>
        <w:pStyle w:val="FORMATTEXT"/>
        <w:ind w:firstLine="568"/>
        <w:jc w:val="both"/>
      </w:pPr>
      <w:r>
        <w:rPr>
          <w:b/>
          <w:bCs/>
        </w:rPr>
        <w:t>Сведения о стандарте</w:t>
      </w:r>
    </w:p>
    <w:p w:rsidR="00000000" w:rsidRDefault="008F68A9">
      <w:pPr>
        <w:pStyle w:val="FORMATTEXT"/>
        <w:ind w:firstLine="568"/>
        <w:jc w:val="both"/>
      </w:pPr>
    </w:p>
    <w:p w:rsidR="00000000" w:rsidRDefault="008F68A9">
      <w:pPr>
        <w:pStyle w:val="FORMATTEXT"/>
        <w:ind w:firstLine="568"/>
        <w:jc w:val="both"/>
      </w:pPr>
      <w:r>
        <w:t>1 ПОДГОТОВЛЕН Федеральным государственным унитарным предприятием "Всероссийский научно-исследовательский институт метрологии им. Д.И.Менделеева" (ФГУП "ВНИИМ") и Автономной некоммерческой о</w:t>
      </w:r>
      <w:r>
        <w:t>рганизацией "Научно-исследовательский центр контроля и диагностики технических систем" (АНО "НИЦ КД") на основе собственного аутентичного перевода на русский язык международного документа, указанного в пункте 4</w:t>
      </w:r>
    </w:p>
    <w:p w:rsidR="00000000" w:rsidRDefault="008F68A9">
      <w:pPr>
        <w:pStyle w:val="FORMATTEXT"/>
        <w:ind w:firstLine="568"/>
        <w:jc w:val="both"/>
      </w:pPr>
    </w:p>
    <w:p w:rsidR="00000000" w:rsidRDefault="008F68A9">
      <w:pPr>
        <w:pStyle w:val="FORMATTEXT"/>
        <w:ind w:firstLine="568"/>
        <w:jc w:val="both"/>
      </w:pPr>
      <w:r>
        <w:t>2 ВНЕСЕН Техническим комитетом по стандартиз</w:t>
      </w:r>
      <w:r>
        <w:t>ации ТК 125 "Статистические методы в управлении качеством продукции"</w:t>
      </w:r>
    </w:p>
    <w:p w:rsidR="00000000" w:rsidRDefault="008F68A9">
      <w:pPr>
        <w:pStyle w:val="FORMATTEXT"/>
        <w:ind w:firstLine="568"/>
        <w:jc w:val="both"/>
      </w:pPr>
    </w:p>
    <w:p w:rsidR="00000000" w:rsidRDefault="008F68A9">
      <w:pPr>
        <w:pStyle w:val="FORMATTEXT"/>
        <w:ind w:firstLine="568"/>
        <w:jc w:val="both"/>
      </w:pPr>
      <w:r>
        <w:t>3 УТВЕРЖДЕН И ВВЕДЕН В ДЕЙСТВИЕ Приказом Федерального агентства по техническому регулированию и метрологии от 16 ноября 2011 г. N 555-ст</w:t>
      </w:r>
    </w:p>
    <w:p w:rsidR="00000000" w:rsidRDefault="008F68A9">
      <w:pPr>
        <w:pStyle w:val="FORMATTEXT"/>
        <w:ind w:firstLine="568"/>
        <w:jc w:val="both"/>
      </w:pPr>
    </w:p>
    <w:p w:rsidR="00000000" w:rsidRDefault="008F68A9">
      <w:pPr>
        <w:pStyle w:val="FORMATTEXT"/>
        <w:ind w:firstLine="568"/>
        <w:jc w:val="both"/>
      </w:pPr>
      <w:r>
        <w:t>4 Настоящий стандарт идентичен международному до</w:t>
      </w:r>
      <w:r>
        <w:t>кументу Руководство ИСО/МЭК 98-1:2009* "Неопределенность измерения. Часть</w:t>
      </w:r>
      <w:r w:rsidRPr="00EB1B82">
        <w:rPr>
          <w:lang w:val="en-US"/>
        </w:rPr>
        <w:t xml:space="preserve"> 1. </w:t>
      </w:r>
      <w:r>
        <w:t>Введение</w:t>
      </w:r>
      <w:r w:rsidRPr="00EB1B82">
        <w:rPr>
          <w:lang w:val="en-US"/>
        </w:rPr>
        <w:t xml:space="preserve"> </w:t>
      </w:r>
      <w:r>
        <w:t>в</w:t>
      </w:r>
      <w:r w:rsidRPr="00EB1B82">
        <w:rPr>
          <w:lang w:val="en-US"/>
        </w:rPr>
        <w:t xml:space="preserve"> </w:t>
      </w:r>
      <w:r>
        <w:t>выражение</w:t>
      </w:r>
      <w:r w:rsidRPr="00EB1B82">
        <w:rPr>
          <w:lang w:val="en-US"/>
        </w:rPr>
        <w:t xml:space="preserve"> </w:t>
      </w:r>
      <w:r>
        <w:t>неопределенности</w:t>
      </w:r>
      <w:r w:rsidRPr="00EB1B82">
        <w:rPr>
          <w:lang w:val="en-US"/>
        </w:rPr>
        <w:t xml:space="preserve"> </w:t>
      </w:r>
      <w:r>
        <w:t>измерения</w:t>
      </w:r>
      <w:r w:rsidRPr="00EB1B82">
        <w:rPr>
          <w:lang w:val="en-US"/>
        </w:rPr>
        <w:t xml:space="preserve">" [ISO/IEC Guide 98-1:2009 "Uncertainty of measurement - Part 1: Introduction to the expression of uncertainty in measurement"]. </w:t>
      </w:r>
      <w:r>
        <w:t>Наи</w:t>
      </w:r>
      <w:r>
        <w:t xml:space="preserve">менование настоящего стандарта изменено относительно наименования указанного международного стандарта для приведения в соответствие с ГОСТ Р 1.5 (пункт 3.5) </w:t>
      </w:r>
    </w:p>
    <w:p w:rsidR="00000000" w:rsidRDefault="008F68A9">
      <w:pPr>
        <w:pStyle w:val="FORMATTEXT"/>
        <w:jc w:val="both"/>
      </w:pPr>
      <w:r>
        <w:t xml:space="preserve">________________ </w:t>
      </w:r>
    </w:p>
    <w:p w:rsidR="00000000" w:rsidRDefault="008F68A9">
      <w:pPr>
        <w:pStyle w:val="FORMATTEXT"/>
        <w:ind w:firstLine="568"/>
        <w:jc w:val="both"/>
      </w:pPr>
      <w:r>
        <w:t>* Доступ к международным и зарубежным документам можно получить перейдя по ссылк</w:t>
      </w:r>
      <w:r>
        <w:t>е на сайт http://shop.cntd.ru, здесь и далее по тексту. - Примечание изготовителя базы данных.     </w:t>
      </w:r>
    </w:p>
    <w:p w:rsidR="00000000" w:rsidRDefault="008F68A9">
      <w:pPr>
        <w:pStyle w:val="FORMATTEXT"/>
        <w:ind w:firstLine="568"/>
        <w:jc w:val="both"/>
      </w:pPr>
    </w:p>
    <w:p w:rsidR="00000000" w:rsidRDefault="008F68A9">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национальные и межгосударственн</w:t>
      </w:r>
      <w:r>
        <w:t>ые стандарты, сведения о которых приведены в дополнительном приложении ДА</w:t>
      </w:r>
    </w:p>
    <w:p w:rsidR="00000000" w:rsidRDefault="008F68A9">
      <w:pPr>
        <w:pStyle w:val="FORMATTEXT"/>
        <w:ind w:firstLine="568"/>
        <w:jc w:val="both"/>
      </w:pPr>
    </w:p>
    <w:p w:rsidR="00000000" w:rsidRDefault="008F68A9">
      <w:pPr>
        <w:pStyle w:val="FORMATTEXT"/>
        <w:ind w:firstLine="568"/>
        <w:jc w:val="both"/>
      </w:pPr>
      <w:r>
        <w:t>5 ВВЕДЕН ВПЕРВЫЕ</w:t>
      </w:r>
    </w:p>
    <w:p w:rsidR="00000000" w:rsidRDefault="008F68A9">
      <w:pPr>
        <w:pStyle w:val="FORMATTEXT"/>
        <w:ind w:firstLine="568"/>
        <w:jc w:val="both"/>
      </w:pPr>
    </w:p>
    <w:p w:rsidR="00000000" w:rsidRDefault="008F68A9">
      <w:pPr>
        <w:pStyle w:val="FORMATTEXT"/>
        <w:ind w:firstLine="568"/>
        <w:jc w:val="both"/>
      </w:pPr>
      <w:r>
        <w:rPr>
          <w:i/>
          <w:iCs/>
        </w:rPr>
        <w:t>Информация об изменениях к настоящему стандарту публикуется в ежегодно издаваемом указателе "Национальные стандарты", а текст изменений и поправок - в ежемесячно и</w:t>
      </w:r>
      <w:r>
        <w:rPr>
          <w:i/>
          <w:iCs/>
        </w:rPr>
        <w:t>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w:t>
      </w:r>
      <w:r>
        <w:rPr>
          <w:i/>
          <w:iCs/>
        </w:rPr>
        <w:t xml:space="preserve">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w:t>
      </w:r>
      <w:r>
        <w:rPr>
          <w:i/>
          <w:iCs/>
        </w:rPr>
        <w:lastRenderedPageBreak/>
        <w:t>регулированию и метрологии в сети Интернет</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Предисловие к Руководству ИСО/МЭК 98-1:2009 </w:t>
      </w:r>
    </w:p>
    <w:p w:rsidR="00000000" w:rsidRDefault="008F68A9">
      <w:pPr>
        <w:pStyle w:val="FORMATTEXT"/>
        <w:ind w:firstLine="568"/>
        <w:jc w:val="both"/>
      </w:pPr>
      <w:r>
        <w:t>В 1</w:t>
      </w:r>
      <w:r>
        <w:t>997 г. семью международными организациями, подготовившими в 1993 г. "Руководство по выражению неопределенности измерения" (GUM) и "Международный словарь по метрологии. Основные и общие понятия и связанные с ними термины" (VIM), был образован Объединенный к</w:t>
      </w:r>
      <w:r>
        <w:t>омитет по руководствам в метрологии (JCGM), возглавляемый директором Международного бюро мер и весов (МБМВ), который принял на себя ответственность за указанные два документа от Технической консультативной группы по метрологии ИСО (ИСО/ТАГ 4).</w:t>
      </w:r>
    </w:p>
    <w:p w:rsidR="00000000" w:rsidRDefault="008F68A9">
      <w:pPr>
        <w:pStyle w:val="FORMATTEXT"/>
        <w:ind w:firstLine="568"/>
        <w:jc w:val="both"/>
      </w:pPr>
    </w:p>
    <w:p w:rsidR="00000000" w:rsidRDefault="008F68A9">
      <w:pPr>
        <w:pStyle w:val="FORMATTEXT"/>
        <w:ind w:firstLine="568"/>
        <w:jc w:val="both"/>
      </w:pPr>
      <w:r>
        <w:t>Учредителям</w:t>
      </w:r>
      <w:r>
        <w:t>и JCGM помимо МБМВ являются Международная электротехническая комиссия (МЭК), Международная федерация клинической химии и лабораторной медицины (МФКХ), Международное сотрудничество по аккредитации лабораторий (ИЛАК), Международная организация по стандартиза</w:t>
      </w:r>
      <w:r>
        <w:t>ции (ИСО), Международный союз теоретической и прикладной химии (ИЮПАК), Международный союз теоретической и прикладной физики (ИЮПАП) и Международная организация по законодательной метрологии (МОЗМ).</w:t>
      </w:r>
    </w:p>
    <w:p w:rsidR="00000000" w:rsidRDefault="008F68A9">
      <w:pPr>
        <w:pStyle w:val="FORMATTEXT"/>
        <w:ind w:firstLine="568"/>
        <w:jc w:val="both"/>
      </w:pPr>
    </w:p>
    <w:p w:rsidR="00000000" w:rsidRDefault="008F68A9">
      <w:pPr>
        <w:pStyle w:val="FORMATTEXT"/>
        <w:ind w:firstLine="568"/>
        <w:jc w:val="both"/>
      </w:pPr>
      <w:r>
        <w:t>В рамках JCGM созданы две Рабочие группы (РГ). Задачей Р</w:t>
      </w:r>
      <w:r>
        <w:t>Г 1 "Выражение неопределенности измерения" является содействие использованию Руководства (GUM), подготовка дополнений к Руководству и иных документов, способствующих его широкому применению. Задачей РГ 2 "Рабочей группы по Международному словарю основных и</w:t>
      </w:r>
      <w:r>
        <w:t xml:space="preserve"> общих терминов в метрологии (VIM)" является пересмотр VIM и содействие его применению. Более подробную информацию о деятельности JCGM можно найти на сайте www.bipm.org.</w:t>
      </w:r>
    </w:p>
    <w:p w:rsidR="00000000" w:rsidRDefault="008F68A9">
      <w:pPr>
        <w:pStyle w:val="FORMATTEXT"/>
        <w:ind w:firstLine="568"/>
        <w:jc w:val="both"/>
      </w:pPr>
    </w:p>
    <w:p w:rsidR="00000000" w:rsidRDefault="008F68A9">
      <w:pPr>
        <w:pStyle w:val="FORMATTEXT"/>
        <w:ind w:firstLine="568"/>
        <w:jc w:val="both"/>
      </w:pPr>
      <w:r>
        <w:t>Настоящий документ был подготовлен РГ 1 на основе детальных обзоров, подготовленных о</w:t>
      </w:r>
      <w:r>
        <w:t>рганизациями - членами JCGM.</w:t>
      </w:r>
    </w:p>
    <w:p w:rsidR="00000000" w:rsidRDefault="008F68A9">
      <w:pPr>
        <w:pStyle w:val="FORMATTEXT"/>
        <w:ind w:firstLine="568"/>
        <w:jc w:val="both"/>
      </w:pPr>
    </w:p>
    <w:p w:rsidR="00000000" w:rsidRDefault="008F68A9">
      <w:pPr>
        <w:pStyle w:val="FORMATTEXT"/>
        <w:ind w:firstLine="568"/>
        <w:jc w:val="both"/>
      </w:pPr>
      <w:r>
        <w:t>Настоящий документ является частью серии документов JCGM под общим названием "Оценивание данных измерений", включающей в себя:</w:t>
      </w:r>
    </w:p>
    <w:p w:rsidR="00000000" w:rsidRDefault="008F68A9">
      <w:pPr>
        <w:pStyle w:val="FORMATTEXT"/>
        <w:ind w:firstLine="568"/>
        <w:jc w:val="both"/>
      </w:pPr>
    </w:p>
    <w:p w:rsidR="00000000" w:rsidRDefault="008F68A9">
      <w:pPr>
        <w:pStyle w:val="FORMATTEXT"/>
        <w:ind w:firstLine="568"/>
        <w:jc w:val="both"/>
      </w:pPr>
      <w:r>
        <w:t>- JCGM 100:2008 Оценивание данных измерений. "Руководство по выражению неопределенности измерения</w:t>
      </w:r>
      <w:r>
        <w:t xml:space="preserve"> (GUM)" (см. раздел 2 настоящего стандарта);</w:t>
      </w:r>
    </w:p>
    <w:p w:rsidR="00000000" w:rsidRDefault="008F68A9">
      <w:pPr>
        <w:pStyle w:val="FORMATTEXT"/>
        <w:ind w:firstLine="568"/>
        <w:jc w:val="both"/>
      </w:pPr>
    </w:p>
    <w:p w:rsidR="00000000" w:rsidRDefault="008F68A9">
      <w:pPr>
        <w:pStyle w:val="FORMATTEXT"/>
        <w:ind w:firstLine="568"/>
        <w:jc w:val="both"/>
      </w:pPr>
      <w:r>
        <w:t>- JCGM 101:2008 Оценивание данных измерений. Дополнение 1 к "Руководству по выражению неопределенности измерения". Трансформирование распределений с использованием метода Монте-Карло (см. раздел 2 настоящего ст</w:t>
      </w:r>
      <w:r>
        <w:t>андарта);</w:t>
      </w:r>
    </w:p>
    <w:p w:rsidR="00000000" w:rsidRDefault="008F68A9">
      <w:pPr>
        <w:pStyle w:val="FORMATTEXT"/>
        <w:ind w:firstLine="568"/>
        <w:jc w:val="both"/>
      </w:pPr>
    </w:p>
    <w:p w:rsidR="00000000" w:rsidRDefault="008F68A9">
      <w:pPr>
        <w:pStyle w:val="FORMATTEXT"/>
        <w:ind w:firstLine="568"/>
        <w:jc w:val="both"/>
      </w:pPr>
      <w:r>
        <w:t>- JCGM 102 Оценивание данных измерений. Дополнение 2 к "Руководству по выражению неопределенности измерения". Модели с произвольным числом выходных величин;</w:t>
      </w:r>
    </w:p>
    <w:p w:rsidR="00000000" w:rsidRDefault="008F68A9">
      <w:pPr>
        <w:pStyle w:val="FORMATTEXT"/>
        <w:ind w:firstLine="568"/>
        <w:jc w:val="both"/>
      </w:pPr>
    </w:p>
    <w:p w:rsidR="00000000" w:rsidRDefault="008F68A9">
      <w:pPr>
        <w:pStyle w:val="FORMATTEXT"/>
        <w:ind w:firstLine="568"/>
        <w:jc w:val="both"/>
      </w:pPr>
      <w:r>
        <w:t>- JCGM 103 Оценивание данных измерений. Дополнение 3 к "Руководству по выражению неопре</w:t>
      </w:r>
      <w:r>
        <w:t>деленности измерения". Моделирование;</w:t>
      </w:r>
    </w:p>
    <w:p w:rsidR="00000000" w:rsidRDefault="008F68A9">
      <w:pPr>
        <w:pStyle w:val="FORMATTEXT"/>
        <w:ind w:firstLine="568"/>
        <w:jc w:val="both"/>
      </w:pPr>
    </w:p>
    <w:p w:rsidR="00000000" w:rsidRDefault="008F68A9">
      <w:pPr>
        <w:pStyle w:val="FORMATTEXT"/>
        <w:ind w:firstLine="568"/>
        <w:jc w:val="both"/>
      </w:pPr>
      <w:r>
        <w:t>- JCGM 104 Оценивание данных измерений. Введение к "Руководству по выражению неопределенности измерения" и сопутствующим документам (настоящий стандарт);</w:t>
      </w:r>
    </w:p>
    <w:p w:rsidR="00000000" w:rsidRDefault="008F68A9">
      <w:pPr>
        <w:pStyle w:val="FORMATTEXT"/>
        <w:ind w:firstLine="568"/>
        <w:jc w:val="both"/>
      </w:pPr>
    </w:p>
    <w:p w:rsidR="00000000" w:rsidRDefault="008F68A9">
      <w:pPr>
        <w:pStyle w:val="FORMATTEXT"/>
        <w:ind w:firstLine="568"/>
        <w:jc w:val="both"/>
      </w:pPr>
      <w:r>
        <w:t>- JCGM 105 Оценивание данных измерений. Понятия и основные при</w:t>
      </w:r>
      <w:r>
        <w:t>нципы;</w:t>
      </w:r>
    </w:p>
    <w:p w:rsidR="00000000" w:rsidRDefault="008F68A9">
      <w:pPr>
        <w:pStyle w:val="FORMATTEXT"/>
        <w:ind w:firstLine="568"/>
        <w:jc w:val="both"/>
      </w:pPr>
    </w:p>
    <w:p w:rsidR="00000000" w:rsidRDefault="008F68A9">
      <w:pPr>
        <w:pStyle w:val="FORMATTEXT"/>
        <w:ind w:firstLine="568"/>
        <w:jc w:val="both"/>
      </w:pPr>
      <w:r>
        <w:t>- JCGM 106 Оценивание данных измерений. Роль неопределенности измерения в оценке соответствия;</w:t>
      </w:r>
    </w:p>
    <w:p w:rsidR="00000000" w:rsidRDefault="008F68A9">
      <w:pPr>
        <w:pStyle w:val="FORMATTEXT"/>
        <w:ind w:firstLine="568"/>
        <w:jc w:val="both"/>
      </w:pPr>
    </w:p>
    <w:p w:rsidR="00000000" w:rsidRDefault="008F68A9">
      <w:pPr>
        <w:pStyle w:val="FORMATTEXT"/>
        <w:ind w:firstLine="568"/>
        <w:jc w:val="both"/>
      </w:pPr>
      <w:r>
        <w:t>- JCGM 107 Оценивание данных измерений. Применения метода наименьших квадратов.</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Введение </w:t>
      </w:r>
    </w:p>
    <w:p w:rsidR="00000000" w:rsidRDefault="008F68A9">
      <w:pPr>
        <w:pStyle w:val="FORMATTEXT"/>
        <w:ind w:firstLine="568"/>
        <w:jc w:val="both"/>
      </w:pPr>
      <w:r>
        <w:t>Данные о неопределенности измерения должны всегда принимать</w:t>
      </w:r>
      <w:r>
        <w:t>ся во внимание при оценке соответствия результата измерения его целям. Покупатель в овощной лавке не будет возражать, если при покупке килограмма фруктов весы покажут отклонение от истинного значения в пределах, допустим, двух граммов. В то же время размер</w:t>
      </w:r>
      <w:r>
        <w:t>ы деталей гироскопов, используемых в системах навигации воздушных судов, контролируют до миллионных долей.</w:t>
      </w:r>
    </w:p>
    <w:p w:rsidR="00000000" w:rsidRDefault="008F68A9">
      <w:pPr>
        <w:pStyle w:val="FORMATTEXT"/>
        <w:ind w:firstLine="568"/>
        <w:jc w:val="both"/>
      </w:pPr>
    </w:p>
    <w:p w:rsidR="00000000" w:rsidRDefault="008F68A9">
      <w:pPr>
        <w:pStyle w:val="FORMATTEXT"/>
        <w:ind w:firstLine="568"/>
        <w:jc w:val="both"/>
      </w:pPr>
      <w:r>
        <w:t>Неопределенность измерения - это общее понятие, связанное с любым измерением, которое используют при необходимости принятия обоснованных решений в р</w:t>
      </w:r>
      <w:r>
        <w:t xml:space="preserve">азных областях практической </w:t>
      </w:r>
      <w:r>
        <w:lastRenderedPageBreak/>
        <w:t>деятельности и теоретических исследований. По мере наблюдаемого ужесточения допусков в технологических процессах роль неопределенности измерений при оценке соответствия этим допускам все более возрастает. Центральную роль неопре</w:t>
      </w:r>
      <w:r>
        <w:t>деленность измерения играет также при оценке качества и в стандартах качества.</w:t>
      </w:r>
    </w:p>
    <w:p w:rsidR="00000000" w:rsidRDefault="008F68A9">
      <w:pPr>
        <w:pStyle w:val="FORMATTEXT"/>
        <w:ind w:firstLine="568"/>
        <w:jc w:val="both"/>
      </w:pPr>
    </w:p>
    <w:p w:rsidR="00000000" w:rsidRDefault="008F68A9">
      <w:pPr>
        <w:pStyle w:val="FORMATTEXT"/>
        <w:ind w:firstLine="568"/>
        <w:jc w:val="both"/>
      </w:pPr>
      <w:r>
        <w:t>Измерения присутствуют практически во всех видах человеческой деятельности, включая промышленность, торговлю, науку, здравоохранение, обеспечение безопасности и охрану окружающ</w:t>
      </w:r>
      <w:r>
        <w:t>ей среды, помогая принимать обоснованные решения. Знание неопределенности измерения позволяет сопоставлять результат измерения с установленными требованиями при оценке соответствия, находить вероятность принятия неправильного решения и с ее учетом управлят</w:t>
      </w:r>
      <w:r>
        <w:t>ь возникающими рисками.</w:t>
      </w:r>
    </w:p>
    <w:p w:rsidR="00000000" w:rsidRDefault="008F68A9">
      <w:pPr>
        <w:pStyle w:val="FORMATTEXT"/>
        <w:ind w:firstLine="568"/>
        <w:jc w:val="both"/>
      </w:pPr>
    </w:p>
    <w:p w:rsidR="00000000" w:rsidRDefault="008F68A9">
      <w:pPr>
        <w:pStyle w:val="FORMATTEXT"/>
        <w:ind w:firstLine="568"/>
        <w:jc w:val="both"/>
      </w:pPr>
      <w:r>
        <w:t>Настоящий документ служит введением в концепцию неопределенности измерения, в GUM и сопутствующие документы, указанные в предисловии. Для оценивания неопределенности используется вероятностный подход. Аббревиатуры, использованные в</w:t>
      </w:r>
      <w:r>
        <w:t xml:space="preserve"> настоящем документе, приведены в приложении А.</w:t>
      </w:r>
    </w:p>
    <w:p w:rsidR="00000000" w:rsidRDefault="008F68A9">
      <w:pPr>
        <w:pStyle w:val="FORMATTEXT"/>
        <w:ind w:firstLine="568"/>
        <w:jc w:val="both"/>
      </w:pPr>
    </w:p>
    <w:p w:rsidR="00000000" w:rsidRDefault="008F68A9">
      <w:pPr>
        <w:pStyle w:val="FORMATTEXT"/>
        <w:ind w:firstLine="568"/>
        <w:jc w:val="both"/>
      </w:pPr>
      <w:r>
        <w:t>В последующих изданиях JCGM 200 (VIM) предполагается дать четкое разграничение в применении термина "погрешность" к величине погрешности и к значению погрешности. То же самое относится к термину "показание</w:t>
      </w:r>
      <w:r>
        <w:t>". Поскольку в действующем издании JCGM 200:2008 такого разграничения нет, то данный вопрос рассматривается в настоящем документе.</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1 Область применения </w:t>
      </w:r>
    </w:p>
    <w:p w:rsidR="00000000" w:rsidRDefault="008F68A9">
      <w:pPr>
        <w:pStyle w:val="FORMATTEXT"/>
        <w:ind w:firstLine="568"/>
        <w:jc w:val="both"/>
      </w:pPr>
      <w:r>
        <w:t>Настоящий документ подготовлен Объединенным комитетом по руководствам в метрологии (JCGM) с цел</w:t>
      </w:r>
      <w:r>
        <w:t xml:space="preserve">ью продвижения идей оценивания неопределенности измерения, изложенных в "Руководстве по выражению неопределенности измерения" (GUM), и в качестве вводного руководства по применению дополнений к GUM (далее при ссылках - JCGM 100), включая JCGM 101, а также </w:t>
      </w:r>
      <w:r>
        <w:t>другим документам, разрабатываемым JCGM (см. [3], [4], [5], [6], [7]).</w:t>
      </w:r>
    </w:p>
    <w:p w:rsidR="00000000" w:rsidRDefault="008F68A9">
      <w:pPr>
        <w:pStyle w:val="FORMATTEXT"/>
        <w:ind w:firstLine="568"/>
        <w:jc w:val="both"/>
      </w:pPr>
    </w:p>
    <w:p w:rsidR="00000000" w:rsidRDefault="008F68A9">
      <w:pPr>
        <w:pStyle w:val="FORMATTEXT"/>
        <w:ind w:firstLine="568"/>
        <w:jc w:val="both"/>
      </w:pPr>
      <w:r>
        <w:t xml:space="preserve">Как и JCGM 100, настоящий документ в первую очередь рассматривает выражение неопределенности измерения хорошо определенной величины, характеризуемой </w:t>
      </w:r>
      <w:r>
        <w:rPr>
          <w:i/>
          <w:iCs/>
        </w:rPr>
        <w:t>единственным истинным значением</w:t>
      </w:r>
      <w:r>
        <w:t xml:space="preserve"> (JC</w:t>
      </w:r>
      <w:r>
        <w:t xml:space="preserve">GM 200, словарная статья 2.11, примечание 3) и называемой </w:t>
      </w:r>
      <w:r>
        <w:rPr>
          <w:i/>
          <w:iCs/>
        </w:rPr>
        <w:t>измеряемой величиной</w:t>
      </w:r>
      <w:r>
        <w:t xml:space="preserve"> (JCGM 200, словарная статья 2.3). В JCGM 100 приведены обоснования, почему не рекомендуется использовать термин "истинное значение", однако в настоящем документе этот термин рас</w:t>
      </w:r>
      <w:r>
        <w:t>сматривается для предотвращения возможных неясностей или путаницы с его применением.</w:t>
      </w:r>
    </w:p>
    <w:p w:rsidR="00000000" w:rsidRDefault="008F68A9">
      <w:pPr>
        <w:pStyle w:val="FORMATTEXT"/>
        <w:ind w:firstLine="568"/>
        <w:jc w:val="both"/>
      </w:pPr>
    </w:p>
    <w:p w:rsidR="00000000" w:rsidRDefault="008F68A9">
      <w:pPr>
        <w:pStyle w:val="FORMATTEXT"/>
        <w:ind w:firstLine="568"/>
        <w:jc w:val="both"/>
      </w:pPr>
      <w:r>
        <w:t>Дополнения к GUM и другие сопутствующие документы разрабатываются JCGM с целью оказать помощь в понимании принципов, установленных в GUM, и расширить сферу его применения</w:t>
      </w:r>
      <w:r>
        <w:t>. Дополнения к GUM вместе с другими сопутствующими документами создают область применения концепции неопределенности измерения, существенно превышающую ту, что установлена GUM.</w:t>
      </w:r>
    </w:p>
    <w:p w:rsidR="00000000" w:rsidRDefault="008F68A9">
      <w:pPr>
        <w:pStyle w:val="FORMATTEXT"/>
        <w:ind w:firstLine="568"/>
        <w:jc w:val="both"/>
      </w:pPr>
    </w:p>
    <w:p w:rsidR="00000000" w:rsidRDefault="008F68A9">
      <w:pPr>
        <w:pStyle w:val="FORMATTEXT"/>
        <w:ind w:firstLine="568"/>
        <w:jc w:val="both"/>
      </w:pPr>
      <w:r>
        <w:t>Настоящий документ знакомит с понятием неопределенности измерения, с GUM и доп</w:t>
      </w:r>
      <w:r>
        <w:t>олнениями к GUM, а также документами, поддерживающими GUM. Он ограничивается преимущественно вопросами измерения величин, которые могут быть охарактеризованы непрерывными переменными, такими как длина, температура, время, количество вещества.</w:t>
      </w:r>
    </w:p>
    <w:p w:rsidR="00000000" w:rsidRDefault="008F68A9">
      <w:pPr>
        <w:pStyle w:val="FORMATTEXT"/>
        <w:ind w:firstLine="568"/>
        <w:jc w:val="both"/>
      </w:pPr>
    </w:p>
    <w:p w:rsidR="00000000" w:rsidRDefault="008F68A9">
      <w:pPr>
        <w:pStyle w:val="FORMATTEXT"/>
        <w:ind w:firstLine="568"/>
        <w:jc w:val="both"/>
      </w:pPr>
      <w:r>
        <w:t>Настоящий до</w:t>
      </w:r>
      <w:r>
        <w:t>кумент распространяется на следующие сферы деятельности (но не ограничивается ими):</w:t>
      </w:r>
    </w:p>
    <w:p w:rsidR="00000000" w:rsidRDefault="008F68A9">
      <w:pPr>
        <w:pStyle w:val="FORMATTEXT"/>
        <w:ind w:firstLine="568"/>
        <w:jc w:val="both"/>
      </w:pPr>
    </w:p>
    <w:p w:rsidR="00000000" w:rsidRDefault="008F68A9">
      <w:pPr>
        <w:pStyle w:val="FORMATTEXT"/>
        <w:ind w:firstLine="568"/>
        <w:jc w:val="both"/>
      </w:pPr>
      <w:r>
        <w:t>- наука;</w:t>
      </w:r>
    </w:p>
    <w:p w:rsidR="00000000" w:rsidRDefault="008F68A9">
      <w:pPr>
        <w:pStyle w:val="FORMATTEXT"/>
        <w:ind w:firstLine="568"/>
        <w:jc w:val="both"/>
      </w:pPr>
    </w:p>
    <w:p w:rsidR="00000000" w:rsidRDefault="008F68A9">
      <w:pPr>
        <w:pStyle w:val="FORMATTEXT"/>
        <w:ind w:firstLine="568"/>
        <w:jc w:val="both"/>
      </w:pPr>
      <w:r>
        <w:t>- промышленность;</w:t>
      </w:r>
    </w:p>
    <w:p w:rsidR="00000000" w:rsidRDefault="008F68A9">
      <w:pPr>
        <w:pStyle w:val="FORMATTEXT"/>
        <w:ind w:firstLine="568"/>
        <w:jc w:val="both"/>
      </w:pPr>
    </w:p>
    <w:p w:rsidR="00000000" w:rsidRDefault="008F68A9">
      <w:pPr>
        <w:pStyle w:val="FORMATTEXT"/>
        <w:ind w:firstLine="568"/>
        <w:jc w:val="both"/>
      </w:pPr>
      <w:r>
        <w:t>- деятельность калибровочных и испытательных лабораторий в промышленности, а также в сферах здравоохранения, обеспечения безопасности и охраны</w:t>
      </w:r>
      <w:r>
        <w:t xml:space="preserve"> окружающей среды;</w:t>
      </w:r>
    </w:p>
    <w:p w:rsidR="00000000" w:rsidRDefault="008F68A9">
      <w:pPr>
        <w:pStyle w:val="FORMATTEXT"/>
        <w:ind w:firstLine="568"/>
        <w:jc w:val="both"/>
      </w:pPr>
    </w:p>
    <w:p w:rsidR="00000000" w:rsidRDefault="008F68A9">
      <w:pPr>
        <w:pStyle w:val="FORMATTEXT"/>
        <w:ind w:firstLine="568"/>
        <w:jc w:val="both"/>
      </w:pPr>
      <w:r>
        <w:t>- деятельность органов по аккредитации, а также органов контроля, надзора и оценки соответствия.</w:t>
      </w:r>
    </w:p>
    <w:p w:rsidR="00000000" w:rsidRDefault="008F68A9">
      <w:pPr>
        <w:pStyle w:val="FORMATTEXT"/>
        <w:ind w:firstLine="568"/>
        <w:jc w:val="both"/>
      </w:pPr>
    </w:p>
    <w:p w:rsidR="00000000" w:rsidRDefault="008F68A9">
      <w:pPr>
        <w:pStyle w:val="FORMATTEXT"/>
        <w:ind w:firstLine="568"/>
        <w:jc w:val="both"/>
      </w:pPr>
      <w:r>
        <w:t>Настоящий документ может быть использован при проектировании изделий, поскольку установление характеристик изделий с учетом последующих тр</w:t>
      </w:r>
      <w:r>
        <w:t xml:space="preserve">ебований к контролю и связанными с ним измерениями позволит избежать завышенных технологических требований при их производстве. Применение настоящего документа в сфере высшего образования позволит включать в программы по </w:t>
      </w:r>
      <w:r>
        <w:lastRenderedPageBreak/>
        <w:t>различным дисциплинам разделы по не</w:t>
      </w:r>
      <w:r>
        <w:t>определенности измерения. Результатом должна стать лучшая подготовленность специалистов к восприятию концепции неопределенности измерения и применению ее в разных измерительных задачах, что, в конечном итоге, послужит улучшению качества измерений в целом.</w:t>
      </w:r>
    </w:p>
    <w:p w:rsidR="00000000" w:rsidRDefault="008F68A9">
      <w:pPr>
        <w:pStyle w:val="FORMATTEXT"/>
        <w:ind w:firstLine="568"/>
        <w:jc w:val="both"/>
      </w:pPr>
    </w:p>
    <w:p w:rsidR="00000000" w:rsidRDefault="008F68A9">
      <w:pPr>
        <w:pStyle w:val="FORMATTEXT"/>
        <w:ind w:firstLine="568"/>
        <w:jc w:val="both"/>
      </w:pPr>
      <w:r>
        <w:t>Настоящий документ, дополнения к GUM и другие сопутствующие документы следует использовать совместно с Международным словарем по метрологии (VIM, далее при ссылках - JCGM 200), а также с международными стандартами ИСО 3534-1, ИСО 3524-2 и ИСО 3534-3, в ко</w:t>
      </w:r>
      <w:r>
        <w:t>торых определены термины, используемые в математической статистике и теории вероятностей (включая прикладную статистику и планирование экспериментов), и показано их место в структуре понятий в соответствии с нормативной терминологической практикой. Последн</w:t>
      </w:r>
      <w:r>
        <w:t>ее важно с учетом того обстоятельства, что теоретической основой оценивания данных измерений и неопределенности измерений является математическая статистика и теория вероятностей.</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2 Нормативные ссылки </w:t>
      </w:r>
    </w:p>
    <w:p w:rsidR="00000000" w:rsidRDefault="008F68A9">
      <w:pPr>
        <w:pStyle w:val="FORMATTEXT"/>
        <w:ind w:firstLine="568"/>
        <w:jc w:val="both"/>
      </w:pPr>
      <w:r>
        <w:t>В настоящем стандарте использованы нормативные</w:t>
      </w:r>
      <w:r>
        <w:t xml:space="preserve"> ссылки на следующие документы*: </w:t>
      </w:r>
    </w:p>
    <w:p w:rsidR="00000000" w:rsidRDefault="008F68A9">
      <w:pPr>
        <w:pStyle w:val="FORMATTEXT"/>
        <w:jc w:val="both"/>
      </w:pPr>
      <w:r>
        <w:t xml:space="preserve">_______________ </w:t>
      </w:r>
    </w:p>
    <w:p w:rsidR="00000000" w:rsidRDefault="008F68A9">
      <w:pPr>
        <w:pStyle w:val="FORMATTEXT"/>
        <w:ind w:firstLine="568"/>
        <w:jc w:val="both"/>
      </w:pPr>
      <w:r>
        <w:t xml:space="preserve">* Таблицу соответствия национальных стандартов международным см. по ссылке. - Примечание изготовителя базы данных. </w:t>
      </w:r>
    </w:p>
    <w:p w:rsidR="00000000" w:rsidRPr="00EB1B82" w:rsidRDefault="008F68A9">
      <w:pPr>
        <w:pStyle w:val="FORMATTEXT"/>
        <w:ind w:firstLine="568"/>
        <w:jc w:val="both"/>
        <w:rPr>
          <w:lang w:val="en-US"/>
        </w:rPr>
      </w:pPr>
      <w:r w:rsidRPr="00EB1B82">
        <w:rPr>
          <w:lang w:val="en-US"/>
        </w:rPr>
        <w:t xml:space="preserve">JCGM 100:2008 </w:t>
      </w:r>
      <w:r>
        <w:t>Оценивание</w:t>
      </w:r>
      <w:r w:rsidRPr="00EB1B82">
        <w:rPr>
          <w:lang w:val="en-US"/>
        </w:rPr>
        <w:t xml:space="preserve"> </w:t>
      </w:r>
      <w:r>
        <w:t>данных</w:t>
      </w:r>
      <w:r w:rsidRPr="00EB1B82">
        <w:rPr>
          <w:lang w:val="en-US"/>
        </w:rPr>
        <w:t xml:space="preserve"> </w:t>
      </w:r>
      <w:r>
        <w:t>измерений</w:t>
      </w:r>
      <w:r w:rsidRPr="00EB1B82">
        <w:rPr>
          <w:lang w:val="en-US"/>
        </w:rPr>
        <w:t xml:space="preserve">. </w:t>
      </w:r>
      <w:r>
        <w:t>Руководство</w:t>
      </w:r>
      <w:r w:rsidRPr="00EB1B82">
        <w:rPr>
          <w:lang w:val="en-US"/>
        </w:rPr>
        <w:t xml:space="preserve"> </w:t>
      </w:r>
      <w:r>
        <w:t>по</w:t>
      </w:r>
      <w:r w:rsidRPr="00EB1B82">
        <w:rPr>
          <w:lang w:val="en-US"/>
        </w:rPr>
        <w:t xml:space="preserve"> </w:t>
      </w:r>
      <w:r>
        <w:t>выражению</w:t>
      </w:r>
      <w:r w:rsidRPr="00EB1B82">
        <w:rPr>
          <w:lang w:val="en-US"/>
        </w:rPr>
        <w:t xml:space="preserve"> </w:t>
      </w:r>
      <w:r>
        <w:t>неопределенности</w:t>
      </w:r>
      <w:r w:rsidRPr="00EB1B82">
        <w:rPr>
          <w:lang w:val="en-US"/>
        </w:rPr>
        <w:t xml:space="preserve"> </w:t>
      </w:r>
      <w:r>
        <w:t>изме</w:t>
      </w:r>
      <w:r>
        <w:t>рения</w:t>
      </w:r>
      <w:r w:rsidRPr="00EB1B82">
        <w:rPr>
          <w:lang w:val="en-US"/>
        </w:rPr>
        <w:t xml:space="preserve"> (GUM) [JCGM 100:2008 Evaluation of measurement data - Guide to the expression of uncertainty in measurement (GUM)]</w:t>
      </w:r>
    </w:p>
    <w:p w:rsidR="00000000" w:rsidRPr="00EB1B82" w:rsidRDefault="008F68A9">
      <w:pPr>
        <w:pStyle w:val="FORMATTEXT"/>
        <w:ind w:firstLine="568"/>
        <w:jc w:val="both"/>
        <w:rPr>
          <w:lang w:val="en-US"/>
        </w:rPr>
      </w:pPr>
    </w:p>
    <w:p w:rsidR="00000000" w:rsidRPr="00EB1B82" w:rsidRDefault="008F68A9">
      <w:pPr>
        <w:pStyle w:val="FORMATTEXT"/>
        <w:ind w:firstLine="568"/>
        <w:jc w:val="both"/>
        <w:rPr>
          <w:lang w:val="en-US"/>
        </w:rPr>
      </w:pPr>
      <w:r>
        <w:t>JCGM 101:2008 Оценивание данных измерений. Дополнение 1 к "Руководству по выражению неопределенности измерения". Трансформирование</w:t>
      </w:r>
      <w:r w:rsidRPr="00EB1B82">
        <w:rPr>
          <w:lang w:val="en-US"/>
        </w:rPr>
        <w:t xml:space="preserve"> </w:t>
      </w:r>
      <w:r>
        <w:t>рас</w:t>
      </w:r>
      <w:r>
        <w:t>пределений</w:t>
      </w:r>
      <w:r w:rsidRPr="00EB1B82">
        <w:rPr>
          <w:lang w:val="en-US"/>
        </w:rPr>
        <w:t xml:space="preserve"> </w:t>
      </w:r>
      <w:r>
        <w:t>с</w:t>
      </w:r>
      <w:r w:rsidRPr="00EB1B82">
        <w:rPr>
          <w:lang w:val="en-US"/>
        </w:rPr>
        <w:t xml:space="preserve"> </w:t>
      </w:r>
      <w:r>
        <w:t>использованием</w:t>
      </w:r>
      <w:r w:rsidRPr="00EB1B82">
        <w:rPr>
          <w:lang w:val="en-US"/>
        </w:rPr>
        <w:t xml:space="preserve"> </w:t>
      </w:r>
      <w:r>
        <w:t>метода</w:t>
      </w:r>
      <w:r w:rsidRPr="00EB1B82">
        <w:rPr>
          <w:lang w:val="en-US"/>
        </w:rPr>
        <w:t xml:space="preserve"> </w:t>
      </w:r>
      <w:r>
        <w:t>Монте</w:t>
      </w:r>
      <w:r w:rsidRPr="00EB1B82">
        <w:rPr>
          <w:lang w:val="en-US"/>
        </w:rPr>
        <w:t>-</w:t>
      </w:r>
      <w:r>
        <w:t>Карло</w:t>
      </w:r>
      <w:r w:rsidRPr="00EB1B82">
        <w:rPr>
          <w:lang w:val="en-US"/>
        </w:rPr>
        <w:t xml:space="preserve"> (JCGM 101:2008 Evaluation of measurement data - Supplement 1 to the "Guide to the expression of uncertainty in measurement" - Propagation of distributions using a Monte Carlo method)</w:t>
      </w:r>
    </w:p>
    <w:p w:rsidR="00000000" w:rsidRPr="00EB1B82" w:rsidRDefault="008F68A9">
      <w:pPr>
        <w:pStyle w:val="FORMATTEXT"/>
        <w:ind w:firstLine="568"/>
        <w:jc w:val="both"/>
        <w:rPr>
          <w:lang w:val="en-US"/>
        </w:rPr>
      </w:pPr>
    </w:p>
    <w:p w:rsidR="00000000" w:rsidRPr="00EB1B82" w:rsidRDefault="008F68A9">
      <w:pPr>
        <w:pStyle w:val="FORMATTEXT"/>
        <w:ind w:firstLine="568"/>
        <w:jc w:val="both"/>
        <w:rPr>
          <w:lang w:val="en-US"/>
        </w:rPr>
      </w:pPr>
      <w:r>
        <w:t>JCGM 200:2008 Международн</w:t>
      </w:r>
      <w:r>
        <w:t>ый словарь по метрологии. Основные</w:t>
      </w:r>
      <w:r w:rsidRPr="00EB1B82">
        <w:rPr>
          <w:lang w:val="en-US"/>
        </w:rPr>
        <w:t xml:space="preserve"> </w:t>
      </w:r>
      <w:r>
        <w:t>и</w:t>
      </w:r>
      <w:r w:rsidRPr="00EB1B82">
        <w:rPr>
          <w:lang w:val="en-US"/>
        </w:rPr>
        <w:t xml:space="preserve"> </w:t>
      </w:r>
      <w:r>
        <w:t>общие</w:t>
      </w:r>
      <w:r w:rsidRPr="00EB1B82">
        <w:rPr>
          <w:lang w:val="en-US"/>
        </w:rPr>
        <w:t xml:space="preserve"> </w:t>
      </w:r>
      <w:r>
        <w:t>понятия</w:t>
      </w:r>
      <w:r w:rsidRPr="00EB1B82">
        <w:rPr>
          <w:lang w:val="en-US"/>
        </w:rPr>
        <w:t xml:space="preserve"> </w:t>
      </w:r>
      <w:r>
        <w:t>и</w:t>
      </w:r>
      <w:r w:rsidRPr="00EB1B82">
        <w:rPr>
          <w:lang w:val="en-US"/>
        </w:rPr>
        <w:t xml:space="preserve"> </w:t>
      </w:r>
      <w:r>
        <w:t>связанные</w:t>
      </w:r>
      <w:r w:rsidRPr="00EB1B82">
        <w:rPr>
          <w:lang w:val="en-US"/>
        </w:rPr>
        <w:t xml:space="preserve"> </w:t>
      </w:r>
      <w:r>
        <w:t>с</w:t>
      </w:r>
      <w:r w:rsidRPr="00EB1B82">
        <w:rPr>
          <w:lang w:val="en-US"/>
        </w:rPr>
        <w:t xml:space="preserve"> </w:t>
      </w:r>
      <w:r>
        <w:t>ними</w:t>
      </w:r>
      <w:r w:rsidRPr="00EB1B82">
        <w:rPr>
          <w:lang w:val="en-US"/>
        </w:rPr>
        <w:t xml:space="preserve"> </w:t>
      </w:r>
      <w:r>
        <w:t>термины</w:t>
      </w:r>
      <w:r w:rsidRPr="00EB1B82">
        <w:rPr>
          <w:lang w:val="en-US"/>
        </w:rPr>
        <w:t xml:space="preserve"> (VIM) (JCGM 200:2008 International Vocabulary of Metrology - Basic and general concepts and associated terms)</w:t>
      </w:r>
    </w:p>
    <w:p w:rsidR="00000000" w:rsidRPr="00EB1B82" w:rsidRDefault="008F68A9">
      <w:pPr>
        <w:pStyle w:val="FORMATTEXT"/>
        <w:ind w:firstLine="568"/>
        <w:jc w:val="both"/>
        <w:rPr>
          <w:lang w:val="en-US"/>
        </w:rPr>
      </w:pPr>
    </w:p>
    <w:p w:rsidR="00000000" w:rsidRPr="00EB1B82" w:rsidRDefault="008F68A9">
      <w:pPr>
        <w:pStyle w:val="FORMATTEXT"/>
        <w:ind w:firstLine="568"/>
        <w:jc w:val="both"/>
        <w:rPr>
          <w:lang w:val="en-US"/>
        </w:rPr>
      </w:pPr>
      <w:r>
        <w:t>ИСО 3534-1:2006 Статистика. Словарь и условные обозначения. Часть</w:t>
      </w:r>
      <w:r w:rsidRPr="00EB1B82">
        <w:rPr>
          <w:lang w:val="en-US"/>
        </w:rPr>
        <w:t xml:space="preserve"> 1</w:t>
      </w:r>
      <w:r w:rsidRPr="00EB1B82">
        <w:rPr>
          <w:lang w:val="en-US"/>
        </w:rPr>
        <w:t xml:space="preserve">. </w:t>
      </w:r>
      <w:r>
        <w:t>Общие</w:t>
      </w:r>
      <w:r w:rsidRPr="00EB1B82">
        <w:rPr>
          <w:lang w:val="en-US"/>
        </w:rPr>
        <w:t xml:space="preserve"> </w:t>
      </w:r>
      <w:r>
        <w:t>термины</w:t>
      </w:r>
      <w:r w:rsidRPr="00EB1B82">
        <w:rPr>
          <w:lang w:val="en-US"/>
        </w:rPr>
        <w:t xml:space="preserve"> </w:t>
      </w:r>
      <w:r>
        <w:t>по</w:t>
      </w:r>
      <w:r w:rsidRPr="00EB1B82">
        <w:rPr>
          <w:lang w:val="en-US"/>
        </w:rPr>
        <w:t xml:space="preserve"> </w:t>
      </w:r>
      <w:r>
        <w:t>статистике</w:t>
      </w:r>
      <w:r w:rsidRPr="00EB1B82">
        <w:rPr>
          <w:lang w:val="en-US"/>
        </w:rPr>
        <w:t xml:space="preserve"> </w:t>
      </w:r>
      <w:r>
        <w:t>и</w:t>
      </w:r>
      <w:r w:rsidRPr="00EB1B82">
        <w:rPr>
          <w:lang w:val="en-US"/>
        </w:rPr>
        <w:t xml:space="preserve"> </w:t>
      </w:r>
      <w:r>
        <w:t>термины</w:t>
      </w:r>
      <w:r w:rsidRPr="00EB1B82">
        <w:rPr>
          <w:lang w:val="en-US"/>
        </w:rPr>
        <w:t xml:space="preserve">, </w:t>
      </w:r>
      <w:r>
        <w:t>используемые</w:t>
      </w:r>
      <w:r w:rsidRPr="00EB1B82">
        <w:rPr>
          <w:lang w:val="en-US"/>
        </w:rPr>
        <w:t xml:space="preserve"> </w:t>
      </w:r>
      <w:r>
        <w:t>в</w:t>
      </w:r>
      <w:r w:rsidRPr="00EB1B82">
        <w:rPr>
          <w:lang w:val="en-US"/>
        </w:rPr>
        <w:t xml:space="preserve"> </w:t>
      </w:r>
      <w:r>
        <w:t>теории</w:t>
      </w:r>
      <w:r w:rsidRPr="00EB1B82">
        <w:rPr>
          <w:lang w:val="en-US"/>
        </w:rPr>
        <w:t xml:space="preserve"> </w:t>
      </w:r>
      <w:r>
        <w:t>вероятностей</w:t>
      </w:r>
      <w:r w:rsidRPr="00EB1B82">
        <w:rPr>
          <w:lang w:val="en-US"/>
        </w:rPr>
        <w:t xml:space="preserve"> (ISO 3534-1:2006 Statistics - Vocabulary and symbols - Part 1: General statistical terms and terms used in probability)</w:t>
      </w:r>
    </w:p>
    <w:p w:rsidR="00000000" w:rsidRPr="00EB1B82" w:rsidRDefault="008F68A9">
      <w:pPr>
        <w:pStyle w:val="FORMATTEXT"/>
        <w:ind w:firstLine="568"/>
        <w:jc w:val="both"/>
        <w:rPr>
          <w:lang w:val="en-US"/>
        </w:rPr>
      </w:pPr>
    </w:p>
    <w:p w:rsidR="00000000" w:rsidRPr="00EB1B82" w:rsidRDefault="008F68A9">
      <w:pPr>
        <w:pStyle w:val="FORMATTEXT"/>
        <w:ind w:firstLine="568"/>
        <w:jc w:val="both"/>
        <w:rPr>
          <w:lang w:val="en-US"/>
        </w:rPr>
      </w:pPr>
      <w:r>
        <w:t>ИСО 3534-2:2006 Статистика. Словарь и условные обозначения.</w:t>
      </w:r>
      <w:r>
        <w:t xml:space="preserve"> Часть</w:t>
      </w:r>
      <w:r w:rsidRPr="00EB1B82">
        <w:rPr>
          <w:lang w:val="en-US"/>
        </w:rPr>
        <w:t xml:space="preserve"> 2. </w:t>
      </w:r>
      <w:r>
        <w:t>Прикладная</w:t>
      </w:r>
      <w:r w:rsidRPr="00EB1B82">
        <w:rPr>
          <w:lang w:val="en-US"/>
        </w:rPr>
        <w:t xml:space="preserve"> </w:t>
      </w:r>
      <w:r>
        <w:t>статистика</w:t>
      </w:r>
      <w:r w:rsidRPr="00EB1B82">
        <w:rPr>
          <w:lang w:val="en-US"/>
        </w:rPr>
        <w:t xml:space="preserve"> (ISO 3534-2:2006 Statistics - Vocabulary and symbols - Part 2: Applied statistics)</w:t>
      </w:r>
    </w:p>
    <w:p w:rsidR="00000000" w:rsidRPr="00EB1B82" w:rsidRDefault="008F68A9">
      <w:pPr>
        <w:pStyle w:val="FORMATTEXT"/>
        <w:ind w:firstLine="568"/>
        <w:jc w:val="both"/>
        <w:rPr>
          <w:lang w:val="en-US"/>
        </w:rPr>
      </w:pPr>
    </w:p>
    <w:p w:rsidR="00000000" w:rsidRPr="00EB1B82" w:rsidRDefault="008F68A9">
      <w:pPr>
        <w:pStyle w:val="FORMATTEXT"/>
        <w:ind w:firstLine="568"/>
        <w:jc w:val="both"/>
        <w:rPr>
          <w:lang w:val="en-US"/>
        </w:rPr>
      </w:pPr>
      <w:r>
        <w:t>ИСО 3534-3:1999 Статистика. Словарь и условные обозначения. Часть</w:t>
      </w:r>
      <w:r w:rsidRPr="00EB1B82">
        <w:rPr>
          <w:lang w:val="en-US"/>
        </w:rPr>
        <w:t xml:space="preserve"> 3. </w:t>
      </w:r>
      <w:r>
        <w:t>Планирование</w:t>
      </w:r>
      <w:r w:rsidRPr="00EB1B82">
        <w:rPr>
          <w:lang w:val="en-US"/>
        </w:rPr>
        <w:t xml:space="preserve"> </w:t>
      </w:r>
      <w:r>
        <w:t>эксперимента</w:t>
      </w:r>
      <w:r w:rsidRPr="00EB1B82">
        <w:rPr>
          <w:lang w:val="en-US"/>
        </w:rPr>
        <w:t xml:space="preserve"> (ISO 3534-3:1999 Statistics - Vocabulary and </w:t>
      </w:r>
      <w:r w:rsidRPr="00EB1B82">
        <w:rPr>
          <w:lang w:val="en-US"/>
        </w:rPr>
        <w:t>symbols - Part 3: Design of experiments)</w:t>
      </w:r>
    </w:p>
    <w:p w:rsidR="00000000" w:rsidRPr="00EB1B82" w:rsidRDefault="008F68A9">
      <w:pPr>
        <w:pStyle w:val="FORMATTEXT"/>
        <w:ind w:firstLine="568"/>
        <w:jc w:val="both"/>
        <w:rPr>
          <w:lang w:val="en-US"/>
        </w:rPr>
      </w:pPr>
    </w:p>
    <w:p w:rsidR="00000000" w:rsidRPr="00EB1B82" w:rsidRDefault="008F68A9">
      <w:pPr>
        <w:pStyle w:val="HEADERTEXT"/>
        <w:rPr>
          <w:b/>
          <w:bCs/>
          <w:color w:val="000001"/>
          <w:lang w:val="en-US"/>
        </w:rPr>
      </w:pPr>
    </w:p>
    <w:p w:rsidR="00000000" w:rsidRDefault="008F68A9">
      <w:pPr>
        <w:pStyle w:val="HEADERTEXT"/>
        <w:jc w:val="both"/>
        <w:rPr>
          <w:b/>
          <w:bCs/>
          <w:color w:val="000001"/>
        </w:rPr>
      </w:pPr>
      <w:r w:rsidRPr="00EB1B82">
        <w:rPr>
          <w:b/>
          <w:bCs/>
          <w:color w:val="000001"/>
          <w:lang w:val="en-US"/>
        </w:rPr>
        <w:t xml:space="preserve">      </w:t>
      </w:r>
      <w:r>
        <w:rPr>
          <w:b/>
          <w:bCs/>
          <w:color w:val="000001"/>
        </w:rPr>
        <w:t xml:space="preserve">3 Понятие неопределенности измерения </w:t>
      </w:r>
    </w:p>
    <w:p w:rsidR="00000000" w:rsidRDefault="008F68A9">
      <w:pPr>
        <w:pStyle w:val="FORMATTEXT"/>
        <w:ind w:firstLine="568"/>
        <w:jc w:val="both"/>
      </w:pPr>
      <w:r>
        <w:t xml:space="preserve">3.1 Цель измерения состоит в получении информации об интересующей величине, называемой </w:t>
      </w:r>
      <w:r>
        <w:rPr>
          <w:i/>
          <w:iCs/>
        </w:rPr>
        <w:t>измеряемой величиной</w:t>
      </w:r>
      <w:r>
        <w:t xml:space="preserve"> (JCGM 200, словарная статья 2.3). Измеряемой величиной может </w:t>
      </w:r>
      <w:r>
        <w:t>быть объем сосуда, разность потенциалов на клеммах батареи или массовая концентрация свинца в колбе с водой.</w:t>
      </w:r>
    </w:p>
    <w:p w:rsidR="00000000" w:rsidRDefault="008F68A9">
      <w:pPr>
        <w:pStyle w:val="FORMATTEXT"/>
        <w:ind w:firstLine="568"/>
        <w:jc w:val="both"/>
      </w:pPr>
    </w:p>
    <w:p w:rsidR="00000000" w:rsidRDefault="008F68A9">
      <w:pPr>
        <w:pStyle w:val="FORMATTEXT"/>
        <w:ind w:firstLine="568"/>
        <w:jc w:val="both"/>
      </w:pPr>
      <w:r>
        <w:t xml:space="preserve">3.2 Абсолютно точных измерений не существует. При проведении измерения его результат зависит от </w:t>
      </w:r>
      <w:r>
        <w:rPr>
          <w:i/>
          <w:iCs/>
        </w:rPr>
        <w:t>измерительной системы</w:t>
      </w:r>
      <w:r>
        <w:t xml:space="preserve"> (JCGM 200, словарная статья </w:t>
      </w:r>
      <w:r>
        <w:t>3.2), методики измерения, квалификации оператора, внешних условий и других факторов [1]. Так, если измерять одну и ту же величину несколько раз одним способом и в одинаковых условиях, то, как правило, при достаточной разрешающей способности измерительной с</w:t>
      </w:r>
      <w:r>
        <w:t xml:space="preserve">истемы, позволяющей различать близкие </w:t>
      </w:r>
      <w:r>
        <w:rPr>
          <w:i/>
          <w:iCs/>
        </w:rPr>
        <w:t>показания</w:t>
      </w:r>
      <w:r>
        <w:t xml:space="preserve"> (JCGM 200, словарная статья 4.1), эти показания (</w:t>
      </w:r>
      <w:r>
        <w:rPr>
          <w:i/>
          <w:iCs/>
        </w:rPr>
        <w:t>полученные значения измеряемой величины</w:t>
      </w:r>
      <w:r>
        <w:t xml:space="preserve"> [JCGM 200, словарная статья 2.10]) всякий раз будут разными. Показания рассматривают как мгновенные реализации соответс</w:t>
      </w:r>
      <w:r>
        <w:t>твующей случайной величины.</w:t>
      </w:r>
    </w:p>
    <w:p w:rsidR="00000000" w:rsidRDefault="008F68A9">
      <w:pPr>
        <w:pStyle w:val="FORMATTEXT"/>
        <w:ind w:firstLine="568"/>
        <w:jc w:val="both"/>
      </w:pPr>
    </w:p>
    <w:p w:rsidR="00000000" w:rsidRDefault="008F68A9">
      <w:pPr>
        <w:pStyle w:val="FORMATTEXT"/>
        <w:ind w:firstLine="568"/>
        <w:jc w:val="both"/>
      </w:pPr>
      <w:r>
        <w:t>3.3 </w:t>
      </w:r>
      <w:r>
        <w:rPr>
          <w:i/>
          <w:iCs/>
        </w:rPr>
        <w:t>Разброс</w:t>
      </w:r>
      <w:r>
        <w:t xml:space="preserve"> показаний позволяет судить о качестве проведенного измерения. Их </w:t>
      </w:r>
      <w:r>
        <w:rPr>
          <w:i/>
          <w:iCs/>
        </w:rPr>
        <w:t>среднее</w:t>
      </w:r>
      <w:r>
        <w:t xml:space="preserve"> должно обеспечить </w:t>
      </w:r>
      <w:r>
        <w:rPr>
          <w:i/>
          <w:iCs/>
        </w:rPr>
        <w:t>значение оценки</w:t>
      </w:r>
      <w:r>
        <w:t xml:space="preserve"> (ИСО 3534-1, словарная статья 1.31) </w:t>
      </w:r>
      <w:r>
        <w:rPr>
          <w:i/>
          <w:iCs/>
        </w:rPr>
        <w:t>истинного значения величины</w:t>
      </w:r>
      <w:r>
        <w:t xml:space="preserve"> (JCGM 200, словарная статья 2.11), которая в</w:t>
      </w:r>
      <w:r>
        <w:t xml:space="preserve"> общем случае будет более достоверной, чем отдельное показание. Разброс показаний и их число дают некоторую информацию в отношении среднего значения как оценки истинного значения величины. Однако эта информация в большинстве случаев не будет достаточной.</w:t>
      </w:r>
    </w:p>
    <w:p w:rsidR="00000000" w:rsidRDefault="008F68A9">
      <w:pPr>
        <w:pStyle w:val="FORMATTEXT"/>
        <w:ind w:firstLine="568"/>
        <w:jc w:val="both"/>
      </w:pPr>
    </w:p>
    <w:p w:rsidR="00000000" w:rsidRDefault="008F68A9">
      <w:pPr>
        <w:pStyle w:val="FORMATTEXT"/>
        <w:ind w:firstLine="568"/>
        <w:jc w:val="both"/>
      </w:pPr>
      <w:r>
        <w:t xml:space="preserve">3.4 Измерительная система может давать показания, которые рассеяны не вокруг истинного значения величины, а вокруг некоторого другого, смещенного значения. Разницу между смещенным значением и истинным значением величины иногда называют </w:t>
      </w:r>
      <w:r>
        <w:rPr>
          <w:i/>
          <w:iCs/>
        </w:rPr>
        <w:t>значением систематич</w:t>
      </w:r>
      <w:r>
        <w:rPr>
          <w:i/>
          <w:iCs/>
        </w:rPr>
        <w:t>еской погрешности</w:t>
      </w:r>
      <w:r>
        <w:t xml:space="preserve"> (JCGM 200, словарная статья 2.17). Возьмем для примера домашние весы в ванной. Предположим, что в отсутствие нагрузки они показывают не ноль, а некоторое отличное от нуля значение. Тогда вне зависимости от числа повторных измерений массы </w:t>
      </w:r>
      <w:r>
        <w:t xml:space="preserve">встающего на весы человека влияние этого смещения будет неизменно присутствовать в среднем значении показаний. В большинстве случаев систематическая погрешность, рассматриваемая как величина, - это составляющая погрешности, которая остается постоянной или </w:t>
      </w:r>
      <w:r>
        <w:t>зависит определенным образом от какой-то другой величины.</w:t>
      </w:r>
    </w:p>
    <w:p w:rsidR="00000000" w:rsidRDefault="008F68A9">
      <w:pPr>
        <w:pStyle w:val="FORMATTEXT"/>
        <w:ind w:firstLine="568"/>
        <w:jc w:val="both"/>
      </w:pPr>
    </w:p>
    <w:p w:rsidR="00000000" w:rsidRDefault="008F68A9">
      <w:pPr>
        <w:pStyle w:val="FORMATTEXT"/>
        <w:ind w:firstLine="568"/>
        <w:jc w:val="both"/>
      </w:pPr>
      <w:r>
        <w:t xml:space="preserve">3.5 Существуют два вида погрешности измерения: </w:t>
      </w:r>
      <w:r>
        <w:rPr>
          <w:i/>
          <w:iCs/>
        </w:rPr>
        <w:t>систематическая</w:t>
      </w:r>
      <w:r>
        <w:t xml:space="preserve"> и </w:t>
      </w:r>
      <w:r>
        <w:rPr>
          <w:i/>
          <w:iCs/>
        </w:rPr>
        <w:t>случайная</w:t>
      </w:r>
      <w:r>
        <w:t xml:space="preserve"> (JCGM 200, словарная статья 2.19). Систематическая погрешность [значение оценки которой называют </w:t>
      </w:r>
      <w:r>
        <w:rPr>
          <w:i/>
          <w:iCs/>
        </w:rPr>
        <w:t>смещением при измерении</w:t>
      </w:r>
      <w:r>
        <w:t xml:space="preserve"> (</w:t>
      </w:r>
      <w:r>
        <w:t>JCGM 200, словарная статья 2.18)] проявляется в том, что полученное значение измеряемой величины содержит сдвиг. Случайная погрешность проявляется в том, что при повторении измерения полученное значение измеряемой величины в большинстве случаев будет отлич</w:t>
      </w:r>
      <w:r>
        <w:t>аться от предыдущего. Случайность заключается в том, что последующие значения измеряемой величины нельзя точно предсказать по предыдущим (если бы такая возможность существовала, то в результат измерений можно было бы внести соответствующую поправку). В общ</w:t>
      </w:r>
      <w:r>
        <w:t>ем случае каждый из видов погрешности может быть обусловлен действием нескольких факторов.</w:t>
      </w:r>
    </w:p>
    <w:p w:rsidR="00000000" w:rsidRDefault="008F68A9">
      <w:pPr>
        <w:pStyle w:val="FORMATTEXT"/>
        <w:ind w:firstLine="568"/>
        <w:jc w:val="both"/>
      </w:pPr>
    </w:p>
    <w:p w:rsidR="00000000" w:rsidRDefault="008F68A9">
      <w:pPr>
        <w:pStyle w:val="FORMATTEXT"/>
        <w:ind w:firstLine="568"/>
        <w:jc w:val="both"/>
      </w:pPr>
      <w:r>
        <w:t>3.6 Для каждого проведенного измерения необходимо решить, как наилучшим образом представить информацию, которую удалось получить об измеряемой величине. Указание зн</w:t>
      </w:r>
      <w:r>
        <w:t>ачений систематических и случайных погрешностей наряду с наилучшей оценкой измеряемой величины - это тот подход, который часто использовался до разработки GUM. GUM предложил другой подход к пониманию измерения, в частности, к тому, как выражать качество ре</w:t>
      </w:r>
      <w:r>
        <w:t>зультата измерения. Вместо представления результата измерения в виде наилучшей оценки измеряемой величины вместе с информацией о систематической и случайной погрешностях (в форме "анализа погрешностей") GUM рекомендует выражать результат измерения как наил</w:t>
      </w:r>
      <w:r>
        <w:t xml:space="preserve">учшую оценку измеряемой величины вместе с соответствующей </w:t>
      </w:r>
      <w:r>
        <w:rPr>
          <w:i/>
          <w:iCs/>
        </w:rPr>
        <w:t>неопределенностью измерения</w:t>
      </w:r>
      <w:r>
        <w:t>.</w:t>
      </w:r>
    </w:p>
    <w:p w:rsidR="00000000" w:rsidRDefault="008F68A9">
      <w:pPr>
        <w:pStyle w:val="FORMATTEXT"/>
        <w:ind w:firstLine="568"/>
        <w:jc w:val="both"/>
      </w:pPr>
    </w:p>
    <w:p w:rsidR="00000000" w:rsidRDefault="008F68A9">
      <w:pPr>
        <w:pStyle w:val="FORMATTEXT"/>
        <w:ind w:firstLine="568"/>
        <w:jc w:val="both"/>
      </w:pPr>
      <w:r>
        <w:t>3.7 Одним из основных исходных положений подхода GUM является утверждение о возможности охарактеризовать качество измерения, исходя из единообразного обращения с систем</w:t>
      </w:r>
      <w:r>
        <w:t>атической и случайной погрешностями, с предложением метода, как это сделать (см. 7.2). Этот метод возвращает к исходной информации, какой она была до применения "анализа погрешностей", и подводит под нее вероятностную основу с помощью концепции неопределен</w:t>
      </w:r>
      <w:r>
        <w:t>ности измерения.</w:t>
      </w:r>
    </w:p>
    <w:p w:rsidR="00000000" w:rsidRDefault="008F68A9">
      <w:pPr>
        <w:pStyle w:val="FORMATTEXT"/>
        <w:ind w:firstLine="568"/>
        <w:jc w:val="both"/>
      </w:pPr>
    </w:p>
    <w:p w:rsidR="00000000" w:rsidRDefault="008F68A9">
      <w:pPr>
        <w:pStyle w:val="FORMATTEXT"/>
        <w:ind w:firstLine="568"/>
        <w:jc w:val="both"/>
      </w:pPr>
      <w:r>
        <w:t>3.8 Другое базовое положение GUM состоит в утверждении, что нельзя установить, насколько хорошо известно единственное истинное значение величины, а можно только сформулировать степень нашей уверенности в том, что оно известно. Таким образ</w:t>
      </w:r>
      <w:r>
        <w:t>ом, неопределенность измерения можно представить через степень уверенности. Такая неопределенность будет отражать неполноту знания об измеряемой величине. Понятие "уверенности" очень важно, т.к. оно перемещает метрологию в сферу, где результат измерения до</w:t>
      </w:r>
      <w:r>
        <w:t xml:space="preserve">лжен рассматриваться и численно определяться в терминах </w:t>
      </w:r>
      <w:r>
        <w:rPr>
          <w:i/>
          <w:iCs/>
        </w:rPr>
        <w:t>вероятностей</w:t>
      </w:r>
      <w:r>
        <w:t>, которые выражают степень доверия.</w:t>
      </w:r>
    </w:p>
    <w:p w:rsidR="00000000" w:rsidRDefault="008F68A9">
      <w:pPr>
        <w:pStyle w:val="FORMATTEXT"/>
        <w:ind w:firstLine="568"/>
        <w:jc w:val="both"/>
      </w:pPr>
    </w:p>
    <w:p w:rsidR="00000000" w:rsidRDefault="008F68A9">
      <w:pPr>
        <w:pStyle w:val="FORMATTEXT"/>
        <w:ind w:firstLine="568"/>
        <w:jc w:val="both"/>
      </w:pPr>
      <w:r>
        <w:t>3.9 Все сказанное выше касается прямого измерения величины, которое встречается довольно редко. Так, весы в ванной комнате могут преобразовывать измере</w:t>
      </w:r>
      <w:r>
        <w:t xml:space="preserve">нное растяжение пружины в оценку измеряемой величины - массы человека на весах. Соотношение между растяжением данной пружины и массой определяют с помощью </w:t>
      </w:r>
      <w:r>
        <w:rPr>
          <w:i/>
          <w:iCs/>
        </w:rPr>
        <w:t>калибровки</w:t>
      </w:r>
      <w:r>
        <w:t xml:space="preserve"> (JCGM 200, словарная статья 2.39) весов.</w:t>
      </w:r>
    </w:p>
    <w:p w:rsidR="00000000" w:rsidRDefault="008F68A9">
      <w:pPr>
        <w:pStyle w:val="FORMATTEXT"/>
        <w:ind w:firstLine="568"/>
        <w:jc w:val="both"/>
      </w:pPr>
    </w:p>
    <w:p w:rsidR="00000000" w:rsidRDefault="008F68A9">
      <w:pPr>
        <w:pStyle w:val="FORMATTEXT"/>
        <w:ind w:firstLine="568"/>
        <w:jc w:val="both"/>
      </w:pPr>
      <w:r>
        <w:t>3.10 Соотношение, подобное тому, что описано в 3</w:t>
      </w:r>
      <w:r>
        <w:t xml:space="preserve">.9, устанавливает правило преобразования численного значения некоторой величины в соответствующее значение измеряемой величины. Это правило обычно называют </w:t>
      </w:r>
      <w:r>
        <w:rPr>
          <w:i/>
          <w:iCs/>
        </w:rPr>
        <w:t>моделью измерений</w:t>
      </w:r>
      <w:r>
        <w:t xml:space="preserve"> (JCGM 200, словарная статья 2.48) или просто моделью. На практике встречаются изме</w:t>
      </w:r>
      <w:r>
        <w:t>рения разных видов, и им соответствуют разные правила преобразования или модели. Даже одному конкретному виду измерений может соответствовать несколько моделей. Так, для бытовых измерений может быть достаточна простая модель (например, в виде прямо пропорц</w:t>
      </w:r>
      <w:r>
        <w:t>иональной зависимости массы на весах от растяжения пружины). Тогда как для научных целей или на производстве для получения более точных результатов могут использоваться более сложные модели взвешивания, учитывающие дополнительные факторы, например выталкив</w:t>
      </w:r>
      <w:r>
        <w:t>ающую силу воздуха. Как правило, определение измеряемой величины зависит от ряда других величин, таких как температура, влажность, смещение объекта, которые также необходимо измерять.</w:t>
      </w:r>
    </w:p>
    <w:p w:rsidR="00000000" w:rsidRDefault="008F68A9">
      <w:pPr>
        <w:pStyle w:val="FORMATTEXT"/>
        <w:ind w:firstLine="568"/>
        <w:jc w:val="both"/>
      </w:pPr>
    </w:p>
    <w:p w:rsidR="00000000" w:rsidRDefault="008F68A9">
      <w:pPr>
        <w:pStyle w:val="FORMATTEXT"/>
        <w:ind w:firstLine="568"/>
        <w:jc w:val="both"/>
      </w:pPr>
      <w:r>
        <w:lastRenderedPageBreak/>
        <w:t>3.11 Если условия измерений несколько отличаются от заданных, то в вели</w:t>
      </w:r>
      <w:r>
        <w:t>чины, входящие в модель, должны быть внесены поправки, соответствующие значениям систематической погрешности (JCGM 200, словарная статья 2.17). Если поправку можно оценить, то значение оценки вносят в модель, исправляя значение соответствующей величины [см</w:t>
      </w:r>
      <w:r>
        <w:t>. JCGM 100 (3.2.4)]. Включение в модель оценки поправки внесет дополнительную неопределенность в результат измерения, даже если значение оценки, как это часто случается на практике, будет равно нулю. Примерами источников систематических погрешностей, возни</w:t>
      </w:r>
      <w:r>
        <w:t>кающих при измерениях высоты, могут быть отклонение средства измерений от вертикали или отличие от установленного значения температуры окружающей среды. Ни угол отклонения средства измерений, ни температуру окружающей среды нельзя узнать точно, но можно по</w:t>
      </w:r>
      <w:r>
        <w:t>лучить некоторую информацию о возможных значениях этих величин, например, что угол отклонения от вертикали не может превышать 0,001° или что температура окружающей среды во время измерения отличается от заданной не более чем на 2 °С.</w:t>
      </w:r>
    </w:p>
    <w:p w:rsidR="00000000" w:rsidRDefault="008F68A9">
      <w:pPr>
        <w:pStyle w:val="FORMATTEXT"/>
        <w:ind w:firstLine="568"/>
        <w:jc w:val="both"/>
      </w:pPr>
    </w:p>
    <w:p w:rsidR="00000000" w:rsidRDefault="008F68A9">
      <w:pPr>
        <w:pStyle w:val="FORMATTEXT"/>
        <w:ind w:firstLine="568"/>
        <w:jc w:val="both"/>
      </w:pPr>
      <w:r>
        <w:t>3.12 Величина, входящ</w:t>
      </w:r>
      <w:r>
        <w:t>ая в модель измерения, может зависеть от времени, например, если она отражает распад радионуклида с определенной скоростью. В этом случае соответствующая временная зависимость должна быть включена в модель, чтобы дать возможность соотнести измеряемую велич</w:t>
      </w:r>
      <w:r>
        <w:t>ину со временем проведения измерения.</w:t>
      </w:r>
    </w:p>
    <w:p w:rsidR="00000000" w:rsidRDefault="008F68A9">
      <w:pPr>
        <w:pStyle w:val="FORMATTEXT"/>
        <w:ind w:firstLine="568"/>
        <w:jc w:val="both"/>
      </w:pPr>
    </w:p>
    <w:p w:rsidR="00000000" w:rsidRDefault="008F68A9">
      <w:pPr>
        <w:pStyle w:val="FORMATTEXT"/>
        <w:ind w:firstLine="568"/>
        <w:jc w:val="both"/>
      </w:pPr>
      <w:r>
        <w:t>3.13 Наряду с данными об измеряемых величинах модель зачастую включает в себя данные другого вида, в частности, представляющие собой некоторые физические константы, каждая из которых известна с какой-то точностью. При</w:t>
      </w:r>
      <w:r>
        <w:t>мерами таких констант могут служить характеристики определенных материалов, например модуль упругости или удельная теплоемкость. Также в модель в качестве значений оценок величин могут быть включены данные, заимствованные из справочников, сертификатов о ка</w:t>
      </w:r>
      <w:r>
        <w:t>либровке и других аналогичных источников.</w:t>
      </w:r>
    </w:p>
    <w:p w:rsidR="00000000" w:rsidRDefault="008F68A9">
      <w:pPr>
        <w:pStyle w:val="FORMATTEXT"/>
        <w:ind w:firstLine="568"/>
        <w:jc w:val="both"/>
      </w:pPr>
    </w:p>
    <w:p w:rsidR="00000000" w:rsidRDefault="008F68A9">
      <w:pPr>
        <w:pStyle w:val="FORMATTEXT"/>
        <w:ind w:firstLine="568"/>
        <w:jc w:val="both"/>
      </w:pPr>
      <w:r>
        <w:t xml:space="preserve">3.14 Составляющие модели, необходимые для определения измеряемой величины, называют </w:t>
      </w:r>
      <w:r>
        <w:rPr>
          <w:i/>
          <w:iCs/>
        </w:rPr>
        <w:t>входными величинами модели измерений</w:t>
      </w:r>
      <w:r>
        <w:t xml:space="preserve"> (JCGM 200, словарная статья 2.50). Саму модель, определяющую правило преобразования входных </w:t>
      </w:r>
      <w:r>
        <w:t xml:space="preserve">величин, часто называют </w:t>
      </w:r>
      <w:r>
        <w:rPr>
          <w:i/>
          <w:iCs/>
        </w:rPr>
        <w:t>функциональной зависимостью</w:t>
      </w:r>
      <w:r>
        <w:t xml:space="preserve"> [см. JCGM 100 (4.1)]. </w:t>
      </w:r>
      <w:r>
        <w:rPr>
          <w:i/>
          <w:iCs/>
        </w:rPr>
        <w:t>Выходной величиной модели измерений</w:t>
      </w:r>
      <w:r>
        <w:t xml:space="preserve"> (JCGM 200, словарная статья 2.51) является измеряемая величина.</w:t>
      </w:r>
    </w:p>
    <w:p w:rsidR="00000000" w:rsidRDefault="008F68A9">
      <w:pPr>
        <w:pStyle w:val="FORMATTEXT"/>
        <w:ind w:firstLine="568"/>
        <w:jc w:val="both"/>
      </w:pPr>
    </w:p>
    <w:p w:rsidR="00000000" w:rsidRDefault="008F68A9">
      <w:pPr>
        <w:pStyle w:val="FORMATTEXT"/>
        <w:ind w:firstLine="568"/>
        <w:jc w:val="both"/>
      </w:pPr>
      <w:r>
        <w:t xml:space="preserve">3.15 Формально, связь выходной величины, обозначаемой </w:t>
      </w:r>
      <w:r w:rsidR="00EB1B82">
        <w:rPr>
          <w:noProof/>
          <w:position w:val="-7"/>
        </w:rPr>
        <w:drawing>
          <wp:inline distT="0" distB="0" distL="0" distR="0">
            <wp:extent cx="142240" cy="16637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 отношении которой требуется получить информацию, с входными величинами, обозначаемыми </w:t>
      </w:r>
      <w:r w:rsidR="00EB1B82">
        <w:rPr>
          <w:noProof/>
          <w:position w:val="-9"/>
        </w:rPr>
        <w:drawing>
          <wp:inline distT="0" distB="0" distL="0" distR="0">
            <wp:extent cx="213995" cy="2139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информация о которых доступна, часто представляют моделью [см. JCGM 100, (4.1.1</w:t>
      </w:r>
      <w:r>
        <w:t>)] в виде функции измерения (JCGM 200, словарная статья 2.49)</w:t>
      </w:r>
    </w:p>
    <w:p w:rsidR="00000000" w:rsidRDefault="008F68A9">
      <w:pPr>
        <w:pStyle w:val="FORMATTEXT"/>
        <w:ind w:firstLine="568"/>
        <w:jc w:val="both"/>
      </w:pPr>
    </w:p>
    <w:p w:rsidR="00000000" w:rsidRDefault="00EB1B82">
      <w:pPr>
        <w:pStyle w:val="FORMATTEXT"/>
        <w:jc w:val="right"/>
      </w:pPr>
      <w:r>
        <w:rPr>
          <w:noProof/>
          <w:position w:val="-10"/>
        </w:rPr>
        <w:drawing>
          <wp:inline distT="0" distB="0" distL="0" distR="0">
            <wp:extent cx="1211580" cy="225425"/>
            <wp:effectExtent l="0" t="0" r="762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225425"/>
                    </a:xfrm>
                    <a:prstGeom prst="rect">
                      <a:avLst/>
                    </a:prstGeom>
                    <a:noFill/>
                    <a:ln>
                      <a:noFill/>
                    </a:ln>
                  </pic:spPr>
                </pic:pic>
              </a:graphicData>
            </a:graphic>
          </wp:inline>
        </w:drawing>
      </w:r>
      <w:r w:rsidR="008F68A9">
        <w:t xml:space="preserve">.                                                     (1) </w:t>
      </w:r>
    </w:p>
    <w:p w:rsidR="00000000" w:rsidRDefault="008F68A9">
      <w:pPr>
        <w:pStyle w:val="FORMATTEXT"/>
        <w:ind w:firstLine="568"/>
        <w:jc w:val="both"/>
      </w:pPr>
      <w:r>
        <w:t>3.16 В общем виде модель измерения (см. JCGM 200, примечание 1 к словарной статье 2.48) может быть</w:t>
      </w:r>
      <w:r>
        <w:t xml:space="preserve"> представлена формулой</w:t>
      </w:r>
    </w:p>
    <w:p w:rsidR="00000000" w:rsidRDefault="008F68A9">
      <w:pPr>
        <w:pStyle w:val="FORMATTEXT"/>
        <w:ind w:firstLine="568"/>
        <w:jc w:val="both"/>
      </w:pPr>
    </w:p>
    <w:p w:rsidR="00000000" w:rsidRDefault="00EB1B82">
      <w:pPr>
        <w:pStyle w:val="FORMATTEXT"/>
        <w:jc w:val="right"/>
      </w:pPr>
      <w:r>
        <w:rPr>
          <w:noProof/>
          <w:position w:val="-10"/>
        </w:rPr>
        <w:drawing>
          <wp:inline distT="0" distB="0" distL="0" distR="0">
            <wp:extent cx="1330325" cy="225425"/>
            <wp:effectExtent l="0" t="0" r="3175"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0325" cy="225425"/>
                    </a:xfrm>
                    <a:prstGeom prst="rect">
                      <a:avLst/>
                    </a:prstGeom>
                    <a:noFill/>
                    <a:ln>
                      <a:noFill/>
                    </a:ln>
                  </pic:spPr>
                </pic:pic>
              </a:graphicData>
            </a:graphic>
          </wp:inline>
        </w:drawing>
      </w:r>
      <w:r w:rsidR="008F68A9">
        <w:t xml:space="preserve">.                                                   (2) </w:t>
      </w:r>
    </w:p>
    <w:p w:rsidR="00000000" w:rsidRDefault="008F68A9">
      <w:pPr>
        <w:pStyle w:val="FORMATTEXT"/>
        <w:ind w:firstLine="568"/>
        <w:jc w:val="both"/>
      </w:pPr>
      <w:r>
        <w:t xml:space="preserve">Предполагается, что для модели, задаваемой формулой (2), существует способ вычисления </w:t>
      </w:r>
      <w:r w:rsidR="00EB1B82">
        <w:rPr>
          <w:noProof/>
          <w:position w:val="-7"/>
        </w:rPr>
        <w:drawing>
          <wp:inline distT="0" distB="0" distL="0" distR="0">
            <wp:extent cx="142240" cy="166370"/>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 данным </w:t>
      </w:r>
      <w:r w:rsidR="00EB1B82">
        <w:rPr>
          <w:noProof/>
          <w:position w:val="-9"/>
        </w:rPr>
        <w:drawing>
          <wp:inline distT="0" distB="0" distL="0" distR="0">
            <wp:extent cx="213995" cy="21399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и что получаемое при этом значение </w:t>
      </w:r>
      <w:r w:rsidR="00EB1B82">
        <w:rPr>
          <w:noProof/>
          <w:position w:val="-7"/>
        </w:rPr>
        <w:drawing>
          <wp:inline distT="0" distB="0" distL="0" distR="0">
            <wp:extent cx="142240" cy="166370"/>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единственно.</w:t>
      </w:r>
    </w:p>
    <w:p w:rsidR="00000000" w:rsidRDefault="008F68A9">
      <w:pPr>
        <w:pStyle w:val="FORMATTEXT"/>
        <w:ind w:firstLine="568"/>
        <w:jc w:val="both"/>
      </w:pPr>
    </w:p>
    <w:p w:rsidR="00000000" w:rsidRDefault="008F68A9">
      <w:pPr>
        <w:pStyle w:val="FORMATTEXT"/>
        <w:ind w:firstLine="568"/>
        <w:jc w:val="both"/>
      </w:pPr>
      <w:r>
        <w:t xml:space="preserve">3.17 Истинные значения входных величин </w:t>
      </w:r>
      <w:r w:rsidR="00EB1B82">
        <w:rPr>
          <w:noProof/>
          <w:position w:val="-9"/>
        </w:rPr>
        <w:drawing>
          <wp:inline distT="0" distB="0" distL="0" distR="0">
            <wp:extent cx="213995" cy="21399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неизвестны. В подходе</w:t>
      </w:r>
      <w:r>
        <w:t xml:space="preserve">, принятом GUM, </w:t>
      </w:r>
      <w:r w:rsidR="00EB1B82">
        <w:rPr>
          <w:noProof/>
          <w:position w:val="-9"/>
        </w:rPr>
        <w:drawing>
          <wp:inline distT="0" distB="0" distL="0" distR="0">
            <wp:extent cx="213995" cy="21399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ассоциируют со случайными величинами (ИСО 3534-1, словарная статья 2.10) с соответствующими распределениями вероятностей [см. JCGM 100 (3.3.5), а также ИСО 3534-1,</w:t>
      </w:r>
      <w:r>
        <w:t xml:space="preserve"> словарную статью 2.11]. Эти распределения, принимаемые на основе имеющихся знаний об </w:t>
      </w:r>
      <w:r w:rsidR="00EB1B82">
        <w:rPr>
          <w:noProof/>
          <w:position w:val="-9"/>
        </w:rPr>
        <w:drawing>
          <wp:inline distT="0" distB="0" distL="0" distR="0">
            <wp:extent cx="213995" cy="21399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описывают вероятности нахождения истинных значений входных величин в разных интервалах. Ино</w:t>
      </w:r>
      <w:r>
        <w:t xml:space="preserve">гда входные величины (все или некоторые) могут быть связаны между собой, и для их описания используют </w:t>
      </w:r>
      <w:r>
        <w:rPr>
          <w:i/>
          <w:iCs/>
        </w:rPr>
        <w:t>совместные</w:t>
      </w:r>
      <w:r>
        <w:t xml:space="preserve"> распределения. В настоящем документе рассматриваются, преимущественно, независимые случайные величины, однако полученные выводы могут быть легк</w:t>
      </w:r>
      <w:r>
        <w:t>о обобщены и на случай взаимосвязанных величин.</w:t>
      </w:r>
    </w:p>
    <w:p w:rsidR="00000000" w:rsidRDefault="008F68A9">
      <w:pPr>
        <w:pStyle w:val="FORMATTEXT"/>
        <w:ind w:firstLine="568"/>
        <w:jc w:val="both"/>
      </w:pPr>
    </w:p>
    <w:p w:rsidR="00000000" w:rsidRDefault="008F68A9">
      <w:pPr>
        <w:pStyle w:val="FORMATTEXT"/>
        <w:ind w:firstLine="568"/>
        <w:jc w:val="both"/>
      </w:pPr>
      <w:r>
        <w:t xml:space="preserve">3.18 Если из сертификатов, отчетов, документации изготовителей, анализа данных измерений и других источников известны значения оценок </w:t>
      </w:r>
      <w:r w:rsidR="00EB1B82">
        <w:rPr>
          <w:noProof/>
          <w:position w:val="-9"/>
        </w:rPr>
        <w:drawing>
          <wp:inline distT="0" distB="0" distL="0" distR="0">
            <wp:extent cx="166370" cy="213995"/>
            <wp:effectExtent l="0" t="0" r="508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 </w:t>
      </w:r>
      <w:r w:rsidR="00EB1B82">
        <w:rPr>
          <w:noProof/>
          <w:position w:val="-10"/>
        </w:rPr>
        <w:drawing>
          <wp:inline distT="0" distB="0" distL="0" distR="0">
            <wp:extent cx="225425" cy="225425"/>
            <wp:effectExtent l="0" t="0" r="3175" b="317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соответствующих входных величин </w:t>
      </w:r>
      <w:r w:rsidR="00EB1B82">
        <w:rPr>
          <w:noProof/>
          <w:position w:val="-9"/>
        </w:rPr>
        <w:drawing>
          <wp:inline distT="0" distB="0" distL="0" distR="0">
            <wp:extent cx="213995" cy="21399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то ассоциированные c </w:t>
      </w:r>
      <w:r w:rsidR="00EB1B82">
        <w:rPr>
          <w:noProof/>
          <w:position w:val="-9"/>
        </w:rPr>
        <w:drawing>
          <wp:inline distT="0" distB="0" distL="0" distR="0">
            <wp:extent cx="213995" cy="21399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распределения вероятностей должны иметь значения </w:t>
      </w:r>
      <w:r w:rsidR="00EB1B82">
        <w:rPr>
          <w:noProof/>
          <w:position w:val="-9"/>
        </w:rPr>
        <w:drawing>
          <wp:inline distT="0" distB="0" distL="0" distR="0">
            <wp:extent cx="166370" cy="213995"/>
            <wp:effectExtent l="0" t="0" r="508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 </w:t>
      </w:r>
      <w:r w:rsidR="00EB1B82">
        <w:rPr>
          <w:noProof/>
          <w:position w:val="-10"/>
        </w:rPr>
        <w:drawing>
          <wp:inline distT="0" distB="0" distL="0" distR="0">
            <wp:extent cx="225425" cy="225425"/>
            <wp:effectExtent l="0" t="0" r="3175" b="31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в качестве своих </w:t>
      </w:r>
      <w:r>
        <w:rPr>
          <w:i/>
          <w:iCs/>
        </w:rPr>
        <w:t>математических ожиданий</w:t>
      </w:r>
      <w:r>
        <w:t xml:space="preserve"> [см. JCGM 101 (3.8), а также ИСО 3534-1, словарную </w:t>
      </w:r>
      <w:r>
        <w:lastRenderedPageBreak/>
        <w:t xml:space="preserve">статью </w:t>
      </w:r>
      <w:r>
        <w:t xml:space="preserve">2.12]. Для каждого значения оценки </w:t>
      </w:r>
      <w:r w:rsidR="00EB1B82">
        <w:rPr>
          <w:noProof/>
          <w:position w:val="-10"/>
        </w:rPr>
        <w:drawing>
          <wp:inline distT="0" distB="0" distL="0" distR="0">
            <wp:extent cx="166370" cy="225425"/>
            <wp:effectExtent l="0" t="0" r="5080" b="317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sidR="00EB1B82">
        <w:rPr>
          <w:noProof/>
          <w:position w:val="-7"/>
        </w:rPr>
        <w:drawing>
          <wp:inline distT="0" distB="0" distL="0" distR="0">
            <wp:extent cx="83185" cy="166370"/>
            <wp:effectExtent l="0" t="0" r="0" b="508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-й входной величины существует </w:t>
      </w:r>
      <w:r>
        <w:rPr>
          <w:i/>
          <w:iCs/>
        </w:rPr>
        <w:t>ассоциированная</w:t>
      </w:r>
      <w:r>
        <w:t xml:space="preserve"> с ней </w:t>
      </w:r>
      <w:r>
        <w:rPr>
          <w:i/>
          <w:iCs/>
        </w:rPr>
        <w:t>стандартная неопределенность</w:t>
      </w:r>
      <w:r>
        <w:t xml:space="preserve"> (JCGM 200, словарная статья 2.30), обозначаемая </w:t>
      </w:r>
      <w:r w:rsidR="00EB1B82">
        <w:rPr>
          <w:noProof/>
          <w:position w:val="-10"/>
        </w:rPr>
        <w:drawing>
          <wp:inline distT="0" distB="0" distL="0" distR="0">
            <wp:extent cx="368300" cy="225425"/>
            <wp:effectExtent l="0" t="0" r="0" b="31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и определяемая как стандартное отклонение [см. JCGM 101 (3.8), а также ИСО 3534-1, словарную статью 2.37] входной величины, ассоциированной с </w:t>
      </w:r>
      <w:r w:rsidR="00EB1B82">
        <w:rPr>
          <w:noProof/>
          <w:position w:val="-10"/>
        </w:rPr>
        <w:drawing>
          <wp:inline distT="0" distB="0" distL="0" distR="0">
            <wp:extent cx="201930" cy="225425"/>
            <wp:effectExtent l="0" t="0" r="7620" b="317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Значение оценки </w:t>
      </w:r>
      <w:r w:rsidR="00EB1B82">
        <w:rPr>
          <w:noProof/>
          <w:position w:val="-10"/>
        </w:rPr>
        <w:drawing>
          <wp:inline distT="0" distB="0" distL="0" distR="0">
            <wp:extent cx="166370" cy="225425"/>
            <wp:effectExtent l="0" t="0" r="508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понимают как наилучшее для данной входной величины в том смысле, что </w:t>
      </w:r>
      <w:r w:rsidR="00EB1B82">
        <w:rPr>
          <w:noProof/>
          <w:position w:val="-11"/>
        </w:rPr>
        <w:drawing>
          <wp:inline distT="0" distB="0" distL="0" distR="0">
            <wp:extent cx="462915" cy="260985"/>
            <wp:effectExtent l="0" t="0" r="0" b="571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будет меньше, чем математическое ожидание квадрата отклонения </w:t>
      </w:r>
      <w:r w:rsidR="00EB1B82">
        <w:rPr>
          <w:noProof/>
          <w:position w:val="-10"/>
        </w:rPr>
        <w:drawing>
          <wp:inline distT="0" distB="0" distL="0" distR="0">
            <wp:extent cx="201930" cy="225425"/>
            <wp:effectExtent l="0" t="0" r="7620" b="317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от любого другого значения.</w:t>
      </w:r>
    </w:p>
    <w:p w:rsidR="00000000" w:rsidRDefault="008F68A9">
      <w:pPr>
        <w:pStyle w:val="FORMATTEXT"/>
        <w:ind w:firstLine="568"/>
        <w:jc w:val="both"/>
      </w:pPr>
    </w:p>
    <w:p w:rsidR="00000000" w:rsidRDefault="008F68A9">
      <w:pPr>
        <w:pStyle w:val="FORMATTEXT"/>
        <w:ind w:firstLine="568"/>
        <w:jc w:val="both"/>
      </w:pPr>
      <w:r>
        <w:t xml:space="preserve">3.19 Принцип использования всей доступной информации для установления распределения вероятностей, характеризующих входящую в модель величину, справедлив как для каждой входной величины </w:t>
      </w:r>
      <w:r w:rsidR="00EB1B82">
        <w:rPr>
          <w:noProof/>
          <w:position w:val="-10"/>
        </w:rPr>
        <w:drawing>
          <wp:inline distT="0" distB="0" distL="0" distR="0">
            <wp:extent cx="201930" cy="225425"/>
            <wp:effectExtent l="0" t="0" r="7620" b="317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так и для выходной величины </w:t>
      </w:r>
      <w:r w:rsidR="00EB1B82">
        <w:rPr>
          <w:noProof/>
          <w:position w:val="-7"/>
        </w:rPr>
        <w:drawing>
          <wp:inline distT="0" distB="0" distL="0" distR="0">
            <wp:extent cx="142240" cy="166370"/>
            <wp:effectExtent l="0" t="0" r="0" b="508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 последнем случае распределение вероятностей определяют на основе функциональной зависимости (1) или (2) и известных распределений вероятностей для </w:t>
      </w:r>
      <w:r w:rsidR="00EB1B82">
        <w:rPr>
          <w:noProof/>
          <w:position w:val="-10"/>
        </w:rPr>
        <w:drawing>
          <wp:inline distT="0" distB="0" distL="0" distR="0">
            <wp:extent cx="201930" cy="225425"/>
            <wp:effectExtent l="0" t="0" r="7620" b="317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Данный способ получения распределения вероятностей для </w:t>
      </w:r>
      <w:r w:rsidR="00EB1B82">
        <w:rPr>
          <w:noProof/>
          <w:position w:val="-7"/>
        </w:rPr>
        <w:drawing>
          <wp:inline distT="0" distB="0" distL="0" distR="0">
            <wp:extent cx="142240" cy="166370"/>
            <wp:effectExtent l="0" t="0" r="0" b="508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известен как </w:t>
      </w:r>
      <w:r>
        <w:rPr>
          <w:i/>
          <w:iCs/>
        </w:rPr>
        <w:t>трансформирование распределений</w:t>
      </w:r>
      <w:r>
        <w:t xml:space="preserve"> [см. JCGM 101 (5.2)].</w:t>
      </w:r>
    </w:p>
    <w:p w:rsidR="00000000" w:rsidRDefault="008F68A9">
      <w:pPr>
        <w:pStyle w:val="FORMATTEXT"/>
        <w:ind w:firstLine="568"/>
        <w:jc w:val="both"/>
      </w:pPr>
    </w:p>
    <w:p w:rsidR="00000000" w:rsidRDefault="008F68A9">
      <w:pPr>
        <w:pStyle w:val="FORMATTEXT"/>
        <w:ind w:firstLine="568"/>
        <w:jc w:val="both"/>
      </w:pPr>
      <w:r>
        <w:t xml:space="preserve">3.20 Априорное знание об истинном значении выходной величины </w:t>
      </w:r>
      <w:r w:rsidR="00EB1B82">
        <w:rPr>
          <w:noProof/>
          <w:position w:val="-7"/>
        </w:rPr>
        <w:drawing>
          <wp:inline distT="0" distB="0" distL="0" distR="0">
            <wp:extent cx="142240" cy="166370"/>
            <wp:effectExtent l="0" t="0" r="0" b="508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также может быть использовано соответствующим образом. Так, в отношении измерений на домашних весах в ванной комнате априорными будут сведения о том, что масса человека на весах положительна и что измеряют массу именно человека, а </w:t>
      </w:r>
      <w:r>
        <w:t xml:space="preserve">не, например, автомобиля. Учет такой дополнительной информации может помочь обоснованно выбрать распределение вероятностей для </w:t>
      </w:r>
      <w:r w:rsidR="00EB1B82">
        <w:rPr>
          <w:noProof/>
          <w:position w:val="-7"/>
        </w:rPr>
        <w:drawing>
          <wp:inline distT="0" distB="0" distL="0" distR="0">
            <wp:extent cx="142240" cy="166370"/>
            <wp:effectExtent l="0" t="0" r="0"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 меньшим стандартным отклонением, что, соответственно, даст меньшую стандартную неопределенн</w:t>
      </w:r>
      <w:r>
        <w:t xml:space="preserve">ость, ассоциированную со значением оценки </w:t>
      </w:r>
      <w:r w:rsidR="00EB1B82">
        <w:rPr>
          <w:noProof/>
          <w:position w:val="-7"/>
        </w:rPr>
        <w:drawing>
          <wp:inline distT="0" distB="0" distL="0" distR="0">
            <wp:extent cx="142240" cy="166370"/>
            <wp:effectExtent l="0" t="0" r="0" b="508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([2], [13], [24]).</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4 Основные понятия и принципы </w:t>
      </w:r>
    </w:p>
    <w:p w:rsidR="00000000" w:rsidRDefault="008F68A9">
      <w:pPr>
        <w:pStyle w:val="FORMATTEXT"/>
        <w:ind w:firstLine="568"/>
        <w:jc w:val="both"/>
      </w:pPr>
      <w:r>
        <w:t>4.1 Основные понятия и принципы теории вероятностей, которые положены в основу концепции неопределенности измерения, изло</w:t>
      </w:r>
      <w:r>
        <w:t>женной в разделе 3, представлены в [4].</w:t>
      </w:r>
    </w:p>
    <w:p w:rsidR="00000000" w:rsidRDefault="008F68A9">
      <w:pPr>
        <w:pStyle w:val="FORMATTEXT"/>
        <w:ind w:firstLine="568"/>
        <w:jc w:val="both"/>
      </w:pPr>
    </w:p>
    <w:p w:rsidR="00000000" w:rsidRDefault="008F68A9">
      <w:pPr>
        <w:pStyle w:val="FORMATTEXT"/>
        <w:ind w:firstLine="568"/>
        <w:jc w:val="both"/>
      </w:pPr>
      <w:r>
        <w:t>4.2 Неопределенность измерения определяют как (JCGM 200, словарная статья 2.26) "</w:t>
      </w:r>
      <w:r>
        <w:rPr>
          <w:i/>
          <w:iCs/>
        </w:rPr>
        <w:t>неотрицательный параметр, характеризующий рассеяние значений величины, приписываемых измеряемой величине на основании используемой инф</w:t>
      </w:r>
      <w:r>
        <w:rPr>
          <w:i/>
          <w:iCs/>
        </w:rPr>
        <w:t>ормации</w:t>
      </w:r>
      <w:r>
        <w:t>".</w:t>
      </w:r>
    </w:p>
    <w:p w:rsidR="00000000" w:rsidRDefault="008F68A9">
      <w:pPr>
        <w:pStyle w:val="FORMATTEXT"/>
        <w:ind w:firstLine="568"/>
        <w:jc w:val="both"/>
      </w:pPr>
    </w:p>
    <w:p w:rsidR="00000000" w:rsidRDefault="008F68A9">
      <w:pPr>
        <w:pStyle w:val="FORMATTEXT"/>
        <w:ind w:firstLine="568"/>
        <w:jc w:val="both"/>
      </w:pPr>
      <w:r>
        <w:t>Это определение согласуется с положениями, изложенными в 3.8, а также в 3.17-3.20.</w:t>
      </w:r>
    </w:p>
    <w:p w:rsidR="00000000" w:rsidRDefault="008F68A9">
      <w:pPr>
        <w:pStyle w:val="FORMATTEXT"/>
        <w:ind w:firstLine="568"/>
        <w:jc w:val="both"/>
      </w:pPr>
    </w:p>
    <w:p w:rsidR="00000000" w:rsidRDefault="008F68A9">
      <w:pPr>
        <w:pStyle w:val="FORMATTEXT"/>
        <w:ind w:firstLine="568"/>
        <w:jc w:val="both"/>
      </w:pPr>
      <w:r>
        <w:t>4.3 При вычислении неопределенности используются два представления распределения вероятностей [см. JCGM 101 (3.1), а также ИСО 3534-1, словарную статью 2.11] слу</w:t>
      </w:r>
      <w:r>
        <w:t xml:space="preserve">чайной величины </w:t>
      </w:r>
      <w:r w:rsidR="00EB1B82">
        <w:rPr>
          <w:noProof/>
          <w:position w:val="-7"/>
        </w:rPr>
        <w:drawing>
          <wp:inline distT="0" distB="0" distL="0" distR="0">
            <wp:extent cx="178435" cy="166370"/>
            <wp:effectExtent l="0" t="0" r="0" b="508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8F68A9">
      <w:pPr>
        <w:pStyle w:val="FORMATTEXT"/>
        <w:ind w:firstLine="568"/>
        <w:jc w:val="both"/>
      </w:pPr>
      <w:r>
        <w:t xml:space="preserve">- через </w:t>
      </w:r>
      <w:r>
        <w:rPr>
          <w:i/>
          <w:iCs/>
        </w:rPr>
        <w:t>функцию распределения</w:t>
      </w:r>
      <w:r>
        <w:t xml:space="preserve"> [см. JCGM 101 (3.2), а также ИСО 3534-1, словарную статью 2.7], дающую для любого значения ее аргумента вероятность того, что </w:t>
      </w:r>
      <w:r w:rsidR="00EB1B82">
        <w:rPr>
          <w:noProof/>
          <w:position w:val="-7"/>
        </w:rPr>
        <w:drawing>
          <wp:inline distT="0" distB="0" distL="0" distR="0">
            <wp:extent cx="178435" cy="166370"/>
            <wp:effectExtent l="0" t="0" r="0" b="508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меньше или </w:t>
      </w:r>
      <w:r>
        <w:t>равна этому значению;</w:t>
      </w:r>
    </w:p>
    <w:p w:rsidR="00000000" w:rsidRDefault="008F68A9">
      <w:pPr>
        <w:pStyle w:val="FORMATTEXT"/>
        <w:ind w:firstLine="568"/>
        <w:jc w:val="both"/>
      </w:pPr>
    </w:p>
    <w:p w:rsidR="00000000" w:rsidRDefault="008F68A9">
      <w:pPr>
        <w:pStyle w:val="FORMATTEXT"/>
        <w:ind w:firstLine="568"/>
        <w:jc w:val="both"/>
      </w:pPr>
      <w:r>
        <w:t xml:space="preserve">- через </w:t>
      </w:r>
      <w:r>
        <w:rPr>
          <w:i/>
          <w:iCs/>
        </w:rPr>
        <w:t>функцию плотности вероятностей</w:t>
      </w:r>
      <w:r>
        <w:t xml:space="preserve"> [см. JCGM 100 (3.3), а также ИСО 3534-1, словарную статью 2.26], являющуюся производной от функции распределения.</w:t>
      </w:r>
    </w:p>
    <w:p w:rsidR="00000000" w:rsidRDefault="008F68A9">
      <w:pPr>
        <w:pStyle w:val="FORMATTEXT"/>
        <w:ind w:firstLine="568"/>
        <w:jc w:val="both"/>
      </w:pPr>
    </w:p>
    <w:p w:rsidR="00000000" w:rsidRDefault="008F68A9">
      <w:pPr>
        <w:pStyle w:val="FORMATTEXT"/>
        <w:ind w:firstLine="568"/>
        <w:jc w:val="both"/>
      </w:pPr>
      <w:r>
        <w:t xml:space="preserve">4.4 Информацию о каждой входной величине </w:t>
      </w:r>
      <w:r w:rsidR="00EB1B82">
        <w:rPr>
          <w:noProof/>
          <w:position w:val="-10"/>
        </w:rPr>
        <w:drawing>
          <wp:inline distT="0" distB="0" distL="0" distR="0">
            <wp:extent cx="201930" cy="225425"/>
            <wp:effectExtent l="0" t="0" r="7620" b="317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 м</w:t>
      </w:r>
      <w:r>
        <w:t xml:space="preserve">одели измерений, как правило, представляют в виде наилучшего значения оценки </w:t>
      </w:r>
      <w:r w:rsidR="00EB1B82">
        <w:rPr>
          <w:noProof/>
          <w:position w:val="-10"/>
        </w:rPr>
        <w:drawing>
          <wp:inline distT="0" distB="0" distL="0" distR="0">
            <wp:extent cx="166370" cy="225425"/>
            <wp:effectExtent l="0" t="0" r="5080" b="317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ассоциированной с ней стандартной неопределенностью </w:t>
      </w:r>
      <w:r w:rsidR="00EB1B82">
        <w:rPr>
          <w:noProof/>
          <w:position w:val="-10"/>
        </w:rPr>
        <w:drawing>
          <wp:inline distT="0" distB="0" distL="0" distR="0">
            <wp:extent cx="368300" cy="225425"/>
            <wp:effectExtent l="0" t="0" r="0" b="317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(см. 3.18). Если для произвольных </w:t>
      </w:r>
      <w:r w:rsidR="00EB1B82">
        <w:rPr>
          <w:noProof/>
          <w:position w:val="-7"/>
        </w:rPr>
        <w:drawing>
          <wp:inline distT="0" distB="0" distL="0" distR="0">
            <wp:extent cx="83185" cy="166370"/>
            <wp:effectExtent l="0" t="0" r="0" b="508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и </w:t>
      </w:r>
      <w:r w:rsidR="00EB1B82">
        <w:rPr>
          <w:noProof/>
          <w:position w:val="-8"/>
        </w:rPr>
        <w:drawing>
          <wp:inline distT="0" distB="0" distL="0" distR="0">
            <wp:extent cx="118745" cy="189865"/>
            <wp:effectExtent l="0" t="0" r="0" b="63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rsidR="00EB1B82">
        <w:rPr>
          <w:noProof/>
          <w:position w:val="-10"/>
        </w:rPr>
        <w:drawing>
          <wp:inline distT="0" distB="0" distL="0" distR="0">
            <wp:extent cx="201930" cy="225425"/>
            <wp:effectExtent l="0" t="0" r="7620" b="317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EB1B82">
        <w:rPr>
          <w:noProof/>
          <w:position w:val="-10"/>
        </w:rPr>
        <w:drawing>
          <wp:inline distT="0" distB="0" distL="0" distR="0">
            <wp:extent cx="237490" cy="23749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связаны между собой (зависимы), то соответствующая информация должна быть отражена в виде меры тесноты этой связи, выражаемой через ковариацию (ИСО 3534-1, словарная статья 2.43) или корреляцию случайных величин. Если </w:t>
      </w:r>
      <w:r w:rsidR="00EB1B82">
        <w:rPr>
          <w:noProof/>
          <w:position w:val="-10"/>
        </w:rPr>
        <w:drawing>
          <wp:inline distT="0" distB="0" distL="0" distR="0">
            <wp:extent cx="201930" cy="225425"/>
            <wp:effectExtent l="0" t="0" r="7620" b="317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EB1B82">
        <w:rPr>
          <w:noProof/>
          <w:position w:val="-10"/>
        </w:rPr>
        <w:drawing>
          <wp:inline distT="0" distB="0" distL="0" distR="0">
            <wp:extent cx="237490" cy="23749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не связаны между собой (независимы), то соответствующая ковариация будет равна нулю.</w:t>
      </w:r>
    </w:p>
    <w:p w:rsidR="00000000" w:rsidRDefault="008F68A9">
      <w:pPr>
        <w:pStyle w:val="FORMATTEXT"/>
        <w:ind w:firstLine="568"/>
        <w:jc w:val="both"/>
      </w:pPr>
    </w:p>
    <w:p w:rsidR="00000000" w:rsidRDefault="008F68A9">
      <w:pPr>
        <w:pStyle w:val="FORMATTEXT"/>
        <w:ind w:firstLine="568"/>
        <w:jc w:val="both"/>
      </w:pPr>
      <w:r>
        <w:t>4.5 </w:t>
      </w:r>
      <w:r>
        <w:rPr>
          <w:i/>
          <w:iCs/>
        </w:rPr>
        <w:t>Оценивание данных измерения</w:t>
      </w:r>
      <w:r>
        <w:t xml:space="preserve"> в контексте модели измерений (1) или (2) - это использование имеюще</w:t>
      </w:r>
      <w:r>
        <w:t xml:space="preserve">йся информации о входных величинах </w:t>
      </w:r>
      <w:r w:rsidR="00EB1B82">
        <w:rPr>
          <w:noProof/>
          <w:position w:val="-9"/>
        </w:rPr>
        <w:drawing>
          <wp:inline distT="0" distB="0" distL="0" distR="0">
            <wp:extent cx="213995" cy="21399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для получения ассоциированных с ними распределений вероятностей и последующего вывода распределения вероятностей, ассоциированного с выходной в</w:t>
      </w:r>
      <w:r>
        <w:t xml:space="preserve">еличиной </w:t>
      </w:r>
      <w:r w:rsidR="00EB1B82">
        <w:rPr>
          <w:noProof/>
          <w:position w:val="-7"/>
        </w:rPr>
        <w:drawing>
          <wp:inline distT="0" distB="0" distL="0" distR="0">
            <wp:extent cx="142240" cy="166370"/>
            <wp:effectExtent l="0" t="0" r="0" b="508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Последнее распределение, таким образом, можно </w:t>
      </w:r>
      <w:r>
        <w:lastRenderedPageBreak/>
        <w:t>рассматривать как результат оценивания данных измерения.</w:t>
      </w:r>
    </w:p>
    <w:p w:rsidR="00000000" w:rsidRDefault="008F68A9">
      <w:pPr>
        <w:pStyle w:val="FORMATTEXT"/>
        <w:ind w:firstLine="568"/>
        <w:jc w:val="both"/>
      </w:pPr>
    </w:p>
    <w:p w:rsidR="00000000" w:rsidRDefault="008F68A9">
      <w:pPr>
        <w:pStyle w:val="FORMATTEXT"/>
        <w:ind w:firstLine="568"/>
        <w:jc w:val="both"/>
      </w:pPr>
      <w:r>
        <w:t xml:space="preserve">4.6 Информация о входной величине </w:t>
      </w:r>
      <w:r w:rsidR="00EB1B82">
        <w:rPr>
          <w:noProof/>
          <w:position w:val="-10"/>
        </w:rPr>
        <w:drawing>
          <wp:inline distT="0" distB="0" distL="0" distR="0">
            <wp:extent cx="201930" cy="225425"/>
            <wp:effectExtent l="0" t="0" r="7620" b="317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 модели измерений может быть получ</w:t>
      </w:r>
      <w:r>
        <w:t>ена из повторных показаний (</w:t>
      </w:r>
      <w:r>
        <w:rPr>
          <w:i/>
          <w:iCs/>
        </w:rPr>
        <w:t>оценивание неопределенности по типу А</w:t>
      </w:r>
      <w:r>
        <w:t>) [см. JCGM 100 (4.2), а также JCGM 200, словарную статью 2.28] или из обоснованных суждений на основе имеющихся данных о возможных значениях этой величины (</w:t>
      </w:r>
      <w:r>
        <w:rPr>
          <w:i/>
          <w:iCs/>
        </w:rPr>
        <w:t>оценивание неопределенности по тип</w:t>
      </w:r>
      <w:r>
        <w:rPr>
          <w:i/>
          <w:iCs/>
        </w:rPr>
        <w:t>у В</w:t>
      </w:r>
      <w:r>
        <w:t>) [см. JCGM 100 (4.3), а также JCGM 200, словарную статью 2.29].</w:t>
      </w:r>
    </w:p>
    <w:p w:rsidR="00000000" w:rsidRDefault="008F68A9">
      <w:pPr>
        <w:pStyle w:val="FORMATTEXT"/>
        <w:ind w:firstLine="568"/>
        <w:jc w:val="both"/>
      </w:pPr>
    </w:p>
    <w:p w:rsidR="00000000" w:rsidRDefault="008F68A9">
      <w:pPr>
        <w:pStyle w:val="FORMATTEXT"/>
        <w:ind w:firstLine="568"/>
        <w:jc w:val="both"/>
      </w:pPr>
      <w:r>
        <w:t xml:space="preserve">4.7 При оценивании неопределенности по типу A (JCGM 200, словарная статья 2.28) часто делают предположение, что распределение, наилучшим образом соответствующее входной величине </w:t>
      </w:r>
      <w:r w:rsidR="00EB1B82">
        <w:rPr>
          <w:noProof/>
          <w:position w:val="-7"/>
        </w:rPr>
        <w:drawing>
          <wp:inline distT="0" distB="0" distL="0" distR="0">
            <wp:extent cx="178435" cy="166370"/>
            <wp:effectExtent l="0" t="0" r="0" b="508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в условиях имеющихся повторных независимых показаний, это распределение Гаусса (ИСО 3534-1, словарная статья 2.50). В таком случае </w:t>
      </w:r>
      <w:r w:rsidR="00EB1B82">
        <w:rPr>
          <w:noProof/>
          <w:position w:val="-7"/>
        </w:rPr>
        <w:drawing>
          <wp:inline distT="0" distB="0" distL="0" distR="0">
            <wp:extent cx="178435" cy="166370"/>
            <wp:effectExtent l="0" t="0" r="0" b="508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характеризуется математическим ожиданием, наилучшей оце</w:t>
      </w:r>
      <w:r>
        <w:t>нкой которого является среднее арифметическое показаний, и стандартным отклонением, равным стандартному отклонению среднего арифметического. Если неопределенность оценивают по малому числу показаний (являющихся мгновенными реализациями величины, распределе</w:t>
      </w:r>
      <w:r>
        <w:t xml:space="preserve">нной по нормальному закону), то соответствующим распределением будет </w:t>
      </w:r>
      <w:r w:rsidR="00EB1B82">
        <w:rPr>
          <w:noProof/>
          <w:position w:val="-7"/>
        </w:rPr>
        <w:drawing>
          <wp:inline distT="0" distB="0" distL="0" distR="0">
            <wp:extent cx="83185" cy="15430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(ИСО 3534-1, словарная статья 2.53). На рисунке 1 показаны плотности вероятности для распределения Гаусса (сплошная линия) и </w:t>
      </w:r>
      <w:r w:rsidR="00EB1B82">
        <w:rPr>
          <w:noProof/>
          <w:position w:val="-7"/>
        </w:rPr>
        <w:drawing>
          <wp:inline distT="0" distB="0" distL="0" distR="0">
            <wp:extent cx="83185" cy="15430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с четырьмя степенями свободы (пунктирная линия). Сказанное выше не будет справедливо, если показания нельзя рассматривать как независимые.</w:t>
      </w:r>
    </w:p>
    <w:p w:rsidR="00000000" w:rsidRDefault="008F68A9">
      <w:pPr>
        <w:pStyle w:val="FORMATTEXT"/>
        <w:ind w:firstLine="568"/>
        <w:jc w:val="both"/>
      </w:pPr>
    </w:p>
    <w:p w:rsidR="00000000" w:rsidRDefault="00EB1B82">
      <w:pPr>
        <w:pStyle w:val="TOPLEVELTEXT"/>
        <w:jc w:val="center"/>
      </w:pPr>
      <w:r>
        <w:rPr>
          <w:noProof/>
          <w:position w:val="-138"/>
        </w:rPr>
        <w:drawing>
          <wp:inline distT="0" distB="0" distL="0" distR="0">
            <wp:extent cx="4025900" cy="3515360"/>
            <wp:effectExtent l="0" t="0" r="0" b="889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25900" cy="3515360"/>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 1 - Распределение Гау</w:t>
      </w:r>
      <w:r>
        <w:t xml:space="preserve">сса (сплошная линия) и </w:t>
      </w:r>
      <w:r w:rsidR="00EB1B82">
        <w:rPr>
          <w:noProof/>
          <w:position w:val="-7"/>
        </w:rPr>
        <w:drawing>
          <wp:inline distT="0" distB="0" distL="0" distR="0">
            <wp:extent cx="83185" cy="15430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с четырьмя степенями свободы (пунктирная линия) (для случайной величины размерности </w:t>
      </w:r>
      <w:r w:rsidR="00EB1B82">
        <w:rPr>
          <w:noProof/>
          <w:position w:val="-7"/>
        </w:rPr>
        <w:drawing>
          <wp:inline distT="0" distB="0" distL="0" distR="0">
            <wp:extent cx="166370" cy="166370"/>
            <wp:effectExtent l="0" t="0" r="5080" b="508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размерность плотности распределения будет </w:t>
      </w:r>
      <w:r w:rsidR="00EB1B82">
        <w:rPr>
          <w:noProof/>
          <w:position w:val="-9"/>
        </w:rPr>
        <w:drawing>
          <wp:inline distT="0" distB="0" distL="0" distR="0">
            <wp:extent cx="297180" cy="213995"/>
            <wp:effectExtent l="0" t="0" r="762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180" cy="213995"/>
                    </a:xfrm>
                    <a:prstGeom prst="rect">
                      <a:avLst/>
                    </a:prstGeom>
                    <a:noFill/>
                    <a:ln>
                      <a:noFill/>
                    </a:ln>
                  </pic:spPr>
                </pic:pic>
              </a:graphicData>
            </a:graphic>
          </wp:inline>
        </w:drawing>
      </w:r>
      <w:r>
        <w:t xml:space="preserve">) </w:t>
      </w:r>
    </w:p>
    <w:p w:rsidR="00000000" w:rsidRDefault="008F68A9">
      <w:pPr>
        <w:pStyle w:val="FORMATTEXT"/>
        <w:ind w:firstLine="568"/>
        <w:jc w:val="both"/>
      </w:pPr>
      <w:r>
        <w:t xml:space="preserve">4.8 При оценивании неопределенности по типу В (JCGM 200, словарная статья 2.29) часто единственной доступной информацией является то, что </w:t>
      </w:r>
      <w:r w:rsidR="00EB1B82">
        <w:rPr>
          <w:noProof/>
          <w:position w:val="-7"/>
        </w:rPr>
        <w:drawing>
          <wp:inline distT="0" distB="0" distL="0" distR="0">
            <wp:extent cx="178435" cy="166370"/>
            <wp:effectExtent l="0" t="0" r="0" b="508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лежит в определенном интервале [</w:t>
      </w:r>
      <w:r w:rsidR="00EB1B82">
        <w:rPr>
          <w:noProof/>
          <w:position w:val="-6"/>
        </w:rPr>
        <w:drawing>
          <wp:inline distT="0" distB="0" distL="0" distR="0">
            <wp:extent cx="118745" cy="14224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r w:rsidR="00EB1B82">
        <w:rPr>
          <w:noProof/>
          <w:position w:val="-8"/>
        </w:rPr>
        <w:drawing>
          <wp:inline distT="0" distB="0" distL="0" distR="0">
            <wp:extent cx="118745" cy="17843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Информация такого вида может быть формализована в виде прямоугольного распределения вероятностей [см. JCGM 100 (4.3.7), а также ИСО 3534-1, словарную статью 2.60] с границами </w:t>
      </w:r>
      <w:r w:rsidR="00EB1B82">
        <w:rPr>
          <w:noProof/>
          <w:position w:val="-6"/>
        </w:rPr>
        <w:drawing>
          <wp:inline distT="0" distB="0" distL="0" distR="0">
            <wp:extent cx="118745" cy="14224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w:t>
      </w:r>
      <w:r w:rsidR="00EB1B82">
        <w:rPr>
          <w:noProof/>
          <w:position w:val="-8"/>
        </w:rPr>
        <w:drawing>
          <wp:inline distT="0" distB="0" distL="0" distR="0">
            <wp:extent cx="118745" cy="17843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(рисунок 2). Если бы о рассматриваемой величине была доступна информация иного рода, то распределение вероятностей должно было быть согласовано с этой имеющейся информацией [26].</w:t>
      </w:r>
    </w:p>
    <w:p w:rsidR="00000000" w:rsidRDefault="008F68A9">
      <w:pPr>
        <w:pStyle w:val="FORMATTEXT"/>
        <w:ind w:firstLine="568"/>
        <w:jc w:val="both"/>
      </w:pPr>
    </w:p>
    <w:p w:rsidR="00000000" w:rsidRDefault="00EB1B82">
      <w:pPr>
        <w:pStyle w:val="TOPLEVELTEXT"/>
        <w:jc w:val="center"/>
      </w:pPr>
      <w:r>
        <w:rPr>
          <w:noProof/>
          <w:position w:val="-135"/>
        </w:rPr>
        <w:lastRenderedPageBreak/>
        <w:drawing>
          <wp:inline distT="0" distB="0" distL="0" distR="0">
            <wp:extent cx="3954780" cy="3443605"/>
            <wp:effectExtent l="0" t="0" r="7620" b="444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54780" cy="3443605"/>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 xml:space="preserve">Рисунок 2 - Прямоугольное распределение на интервале [-0,10; 0,10] (для случайной величины размерности </w:t>
      </w:r>
      <w:r w:rsidR="00EB1B82">
        <w:rPr>
          <w:noProof/>
          <w:position w:val="-7"/>
        </w:rPr>
        <w:drawing>
          <wp:inline distT="0" distB="0" distL="0" distR="0">
            <wp:extent cx="166370" cy="166370"/>
            <wp:effectExtent l="0" t="0" r="5080" b="508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размерность плотности распределения будет </w:t>
      </w:r>
      <w:r w:rsidR="00EB1B82">
        <w:rPr>
          <w:noProof/>
          <w:position w:val="-9"/>
        </w:rPr>
        <w:drawing>
          <wp:inline distT="0" distB="0" distL="0" distR="0">
            <wp:extent cx="297180" cy="213995"/>
            <wp:effectExtent l="0" t="0" r="762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180" cy="213995"/>
                    </a:xfrm>
                    <a:prstGeom prst="rect">
                      <a:avLst/>
                    </a:prstGeom>
                    <a:noFill/>
                    <a:ln>
                      <a:noFill/>
                    </a:ln>
                  </pic:spPr>
                </pic:pic>
              </a:graphicData>
            </a:graphic>
          </wp:inline>
        </w:drawing>
      </w:r>
      <w:r>
        <w:t xml:space="preserve">) </w:t>
      </w:r>
    </w:p>
    <w:p w:rsidR="00000000" w:rsidRDefault="008F68A9">
      <w:pPr>
        <w:pStyle w:val="FORMATTEXT"/>
        <w:ind w:firstLine="568"/>
        <w:jc w:val="both"/>
      </w:pPr>
      <w:r>
        <w:t xml:space="preserve">4.9 После того как выбрана модель измерения и входные величины </w:t>
      </w:r>
      <w:r w:rsidR="00EB1B82">
        <w:rPr>
          <w:noProof/>
          <w:position w:val="-9"/>
        </w:rPr>
        <w:drawing>
          <wp:inline distT="0" distB="0" distL="0" distR="0">
            <wp:extent cx="213995" cy="21399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описаны через соответствующие распределения вероятностей, распределение вероятностей для измеряемой величины </w:t>
      </w:r>
      <w:r w:rsidR="00EB1B82">
        <w:rPr>
          <w:noProof/>
          <w:position w:val="-7"/>
        </w:rPr>
        <w:drawing>
          <wp:inline distT="0" distB="0" distL="0" distR="0">
            <wp:extent cx="142240" cy="166370"/>
            <wp:effectExtent l="0" t="0" r="0" b="508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полностью определено (см. также 3.19). Математическое ожидание </w:t>
      </w:r>
      <w:r w:rsidR="00EB1B82">
        <w:rPr>
          <w:noProof/>
          <w:position w:val="-7"/>
        </w:rPr>
        <w:drawing>
          <wp:inline distT="0" distB="0" distL="0" distR="0">
            <wp:extent cx="142240" cy="166370"/>
            <wp:effectExtent l="0" t="0" r="0" b="508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используется в качестве оценки измеряемой величины, а стандартное отклонение </w:t>
      </w:r>
      <w:r w:rsidR="00EB1B82">
        <w:rPr>
          <w:noProof/>
          <w:position w:val="-7"/>
        </w:rPr>
        <w:drawing>
          <wp:inline distT="0" distB="0" distL="0" distR="0">
            <wp:extent cx="142240" cy="166370"/>
            <wp:effectExtent l="0" t="0" r="0" b="508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 качестве </w:t>
      </w:r>
      <w:r>
        <w:t>стандартной неопределенности, ассоциированной с этой оценкой.</w:t>
      </w:r>
    </w:p>
    <w:p w:rsidR="00000000" w:rsidRDefault="008F68A9">
      <w:pPr>
        <w:pStyle w:val="FORMATTEXT"/>
        <w:ind w:firstLine="568"/>
        <w:jc w:val="both"/>
      </w:pPr>
    </w:p>
    <w:p w:rsidR="00000000" w:rsidRDefault="008F68A9">
      <w:pPr>
        <w:pStyle w:val="FORMATTEXT"/>
        <w:ind w:firstLine="568"/>
        <w:jc w:val="both"/>
      </w:pPr>
      <w:r>
        <w:t xml:space="preserve">4.10 На рисунке 3 показано трансформирование двух разных прямоугольных распределений вероятностей для входных величин </w:t>
      </w:r>
      <w:r w:rsidR="00EB1B82">
        <w:rPr>
          <w:noProof/>
          <w:position w:val="-9"/>
        </w:rPr>
        <w:drawing>
          <wp:inline distT="0" distB="0" distL="0" distR="0">
            <wp:extent cx="213995" cy="213995"/>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EB1B82">
        <w:rPr>
          <w:noProof/>
          <w:position w:val="-9"/>
        </w:rPr>
        <w:drawing>
          <wp:inline distT="0" distB="0" distL="0" distR="0">
            <wp:extent cx="225425" cy="213995"/>
            <wp:effectExtent l="0" t="0" r="317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в</w:t>
      </w:r>
      <w:r>
        <w:t xml:space="preserve"> симметричное трапецеидальное распределение вероятностей для измеряемой величины </w:t>
      </w:r>
      <w:r w:rsidR="00EB1B82">
        <w:rPr>
          <w:noProof/>
          <w:position w:val="-7"/>
        </w:rPr>
        <w:drawing>
          <wp:inline distT="0" distB="0" distL="0" distR="0">
            <wp:extent cx="142240" cy="166370"/>
            <wp:effectExtent l="0" t="0" r="0" b="508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 случае аддитивной функции измерения </w:t>
      </w:r>
      <w:r w:rsidR="00EB1B82">
        <w:rPr>
          <w:noProof/>
          <w:position w:val="-9"/>
        </w:rPr>
        <w:drawing>
          <wp:inline distT="0" distB="0" distL="0" distR="0">
            <wp:extent cx="831215" cy="213995"/>
            <wp:effectExtent l="0" t="0" r="698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1215" cy="213995"/>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EB1B82">
      <w:pPr>
        <w:pStyle w:val="TOPLEVELTEXT"/>
        <w:jc w:val="center"/>
      </w:pPr>
      <w:r>
        <w:rPr>
          <w:noProof/>
          <w:position w:val="-39"/>
        </w:rPr>
        <w:drawing>
          <wp:inline distT="0" distB="0" distL="0" distR="0">
            <wp:extent cx="3016250" cy="9975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16250" cy="997585"/>
                    </a:xfrm>
                    <a:prstGeom prst="rect">
                      <a:avLst/>
                    </a:prstGeom>
                    <a:noFill/>
                    <a:ln>
                      <a:noFill/>
                    </a:ln>
                  </pic:spPr>
                </pic:pic>
              </a:graphicData>
            </a:graphic>
          </wp:inline>
        </w:drawing>
      </w:r>
    </w:p>
    <w:p w:rsidR="00000000" w:rsidRDefault="008F68A9">
      <w:pPr>
        <w:pStyle w:val="FORMATTEXT"/>
        <w:jc w:val="both"/>
      </w:pPr>
      <w:r>
        <w:t xml:space="preserve">               </w:t>
      </w:r>
    </w:p>
    <w:p w:rsidR="00000000" w:rsidRDefault="008F68A9">
      <w:pPr>
        <w:pStyle w:val="FORMATTEXT"/>
        <w:jc w:val="center"/>
      </w:pPr>
      <w:r>
        <w:t xml:space="preserve">Рисунок 3 </w:t>
      </w:r>
      <w:r>
        <w:t xml:space="preserve">- Трансформирование распределений для аддитивной функции измерения при прямоугольных распределениях вероятностей для входных величин </w:t>
      </w:r>
    </w:p>
    <w:p w:rsidR="00000000" w:rsidRDefault="008F68A9">
      <w:pPr>
        <w:pStyle w:val="FORMATTEXT"/>
        <w:ind w:firstLine="568"/>
        <w:jc w:val="both"/>
      </w:pPr>
      <w:r>
        <w:t xml:space="preserve">4.11 Часто необходимо знать интервал, содержащий </w:t>
      </w:r>
      <w:r w:rsidR="00EB1B82">
        <w:rPr>
          <w:noProof/>
          <w:position w:val="-7"/>
        </w:rPr>
        <w:drawing>
          <wp:inline distT="0" distB="0" distL="0" distR="0">
            <wp:extent cx="142240" cy="166370"/>
            <wp:effectExtent l="0" t="0" r="0" b="508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 заданной вероятностью. Такой интерв</w:t>
      </w:r>
      <w:r>
        <w:t xml:space="preserve">ал, называемый </w:t>
      </w:r>
      <w:r>
        <w:rPr>
          <w:i/>
          <w:iCs/>
        </w:rPr>
        <w:t>интервалом охвата</w:t>
      </w:r>
      <w:r>
        <w:t xml:space="preserve"> (JCGM 200, словарная статья 2.36), может быть получен из распределения вероятностей для </w:t>
      </w:r>
      <w:r w:rsidR="00EB1B82">
        <w:rPr>
          <w:noProof/>
          <w:position w:val="-7"/>
        </w:rPr>
        <w:drawing>
          <wp:inline distT="0" distB="0" distL="0" distR="0">
            <wp:extent cx="142240" cy="166370"/>
            <wp:effectExtent l="0" t="0" r="0" b="508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Заданную вероятность называют </w:t>
      </w:r>
      <w:r>
        <w:rPr>
          <w:i/>
          <w:iCs/>
        </w:rPr>
        <w:t>вероятностью охвата</w:t>
      </w:r>
      <w:r>
        <w:t xml:space="preserve"> (JCGM 200, словарная статья 2.37).</w:t>
      </w:r>
    </w:p>
    <w:p w:rsidR="00000000" w:rsidRDefault="008F68A9">
      <w:pPr>
        <w:pStyle w:val="FORMATTEXT"/>
        <w:ind w:firstLine="568"/>
        <w:jc w:val="both"/>
      </w:pPr>
    </w:p>
    <w:p w:rsidR="00000000" w:rsidRDefault="008F68A9">
      <w:pPr>
        <w:pStyle w:val="FORMATTEXT"/>
        <w:ind w:firstLine="568"/>
        <w:jc w:val="both"/>
      </w:pPr>
      <w:r>
        <w:t>4.12 Для ус</w:t>
      </w:r>
      <w:r>
        <w:t>тановленной вероятности охвата существует множество интервалов охвата, среди которых различают:</w:t>
      </w:r>
    </w:p>
    <w:p w:rsidR="00000000" w:rsidRDefault="008F68A9">
      <w:pPr>
        <w:pStyle w:val="FORMATTEXT"/>
        <w:ind w:firstLine="568"/>
        <w:jc w:val="both"/>
      </w:pPr>
    </w:p>
    <w:p w:rsidR="00000000" w:rsidRDefault="008F68A9">
      <w:pPr>
        <w:pStyle w:val="FORMATTEXT"/>
        <w:ind w:firstLine="568"/>
        <w:jc w:val="both"/>
      </w:pPr>
      <w:r>
        <w:t>a) </w:t>
      </w:r>
      <w:r>
        <w:rPr>
          <w:i/>
          <w:iCs/>
        </w:rPr>
        <w:t>вероятностно симметричный интервал охвата</w:t>
      </w:r>
      <w:r>
        <w:t xml:space="preserve"> [см. JCGM 101 (3.15)], для которого вероятности (в сумме равные единице за вычетом вероятности охвата) расположени</w:t>
      </w:r>
      <w:r>
        <w:t>я значения величины справа или слева от интервала равны;</w:t>
      </w:r>
    </w:p>
    <w:p w:rsidR="00000000" w:rsidRDefault="008F68A9">
      <w:pPr>
        <w:pStyle w:val="FORMATTEXT"/>
        <w:ind w:firstLine="568"/>
        <w:jc w:val="both"/>
      </w:pPr>
    </w:p>
    <w:p w:rsidR="00000000" w:rsidRDefault="008F68A9">
      <w:pPr>
        <w:pStyle w:val="FORMATTEXT"/>
        <w:ind w:firstLine="568"/>
        <w:jc w:val="both"/>
      </w:pPr>
      <w:r>
        <w:t>b) </w:t>
      </w:r>
      <w:r>
        <w:rPr>
          <w:i/>
          <w:iCs/>
        </w:rPr>
        <w:t>наименьший интервал охвата</w:t>
      </w:r>
      <w:r>
        <w:t xml:space="preserve"> [см. JCGM 101 (3.16)], протяженность которого является наименьшей из всех интервалов охвата, имеющих ту же вероятность охвата.</w:t>
      </w:r>
    </w:p>
    <w:p w:rsidR="00000000" w:rsidRDefault="008F68A9">
      <w:pPr>
        <w:pStyle w:val="FORMATTEXT"/>
        <w:ind w:firstLine="568"/>
        <w:jc w:val="both"/>
      </w:pPr>
    </w:p>
    <w:p w:rsidR="00000000" w:rsidRDefault="008F68A9">
      <w:pPr>
        <w:pStyle w:val="FORMATTEXT"/>
        <w:ind w:firstLine="568"/>
        <w:jc w:val="both"/>
      </w:pPr>
      <w:r>
        <w:lastRenderedPageBreak/>
        <w:t>4.13 На рисунке 4 показано усеченное и м</w:t>
      </w:r>
      <w:r>
        <w:t>асштабированное распределение Гаусса (в виде спадающей кривой) с граничными точками наименьшего (сплошные вертикальные линии) и вероятностно симметричного (пунктирные вертикальные линии) 95%-ных интервалов охвата для величины, с которой ассоциировано это р</w:t>
      </w:r>
      <w:r>
        <w:t>аспределение. Распределение асимметрично, поэтому указанные два интервала охвата различаются между собой (особенно заметно различие в граничных точках справа). Левая граничная точка наименьшего интервала охвата точно совпадает с нулем - наименьшим возможны</w:t>
      </w:r>
      <w:r>
        <w:t>м значением для этой величины. Для данного примера вероятностно симметричный интервал охвата на 15% протяженней наименьшего интервала охвата.</w:t>
      </w:r>
    </w:p>
    <w:p w:rsidR="00000000" w:rsidRDefault="008F68A9">
      <w:pPr>
        <w:pStyle w:val="FORMATTEXT"/>
        <w:ind w:firstLine="568"/>
        <w:jc w:val="both"/>
      </w:pPr>
    </w:p>
    <w:p w:rsidR="00000000" w:rsidRDefault="00EB1B82">
      <w:pPr>
        <w:pStyle w:val="TOPLEVELTEXT"/>
        <w:jc w:val="center"/>
      </w:pPr>
      <w:r>
        <w:rPr>
          <w:noProof/>
          <w:position w:val="-145"/>
        </w:rPr>
        <w:drawing>
          <wp:inline distT="0" distB="0" distL="0" distR="0">
            <wp:extent cx="4453255" cy="3705225"/>
            <wp:effectExtent l="0" t="0" r="4445"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53255" cy="3705225"/>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 4 - 95%-ные интервалы охвата: наименьший (сплошные вертикальные линии) и вероятностно симметричный (пунктирные вертикальные линии) для величины с усеченным масштабированным распределением Гаусса (для с</w:t>
      </w:r>
      <w:r>
        <w:t xml:space="preserve">лучайной величины размерности </w:t>
      </w:r>
      <w:r w:rsidR="00EB1B82">
        <w:rPr>
          <w:noProof/>
          <w:position w:val="-7"/>
        </w:rPr>
        <w:drawing>
          <wp:inline distT="0" distB="0" distL="0" distR="0">
            <wp:extent cx="166370" cy="166370"/>
            <wp:effectExtent l="0" t="0" r="5080" b="508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размерность плотности распределения будет </w:t>
      </w:r>
      <w:r w:rsidR="00EB1B82">
        <w:rPr>
          <w:noProof/>
          <w:position w:val="-9"/>
        </w:rPr>
        <w:drawing>
          <wp:inline distT="0" distB="0" distL="0" distR="0">
            <wp:extent cx="297180" cy="213995"/>
            <wp:effectExtent l="0" t="0" r="762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180" cy="213995"/>
                    </a:xfrm>
                    <a:prstGeom prst="rect">
                      <a:avLst/>
                    </a:prstGeom>
                    <a:noFill/>
                    <a:ln>
                      <a:noFill/>
                    </a:ln>
                  </pic:spPr>
                </pic:pic>
              </a:graphicData>
            </a:graphic>
          </wp:inline>
        </w:drawing>
      </w:r>
      <w:r>
        <w:t xml:space="preserve">) </w:t>
      </w:r>
    </w:p>
    <w:p w:rsidR="00000000" w:rsidRDefault="008F68A9">
      <w:pPr>
        <w:pStyle w:val="FORMATTEXT"/>
        <w:ind w:firstLine="568"/>
        <w:jc w:val="both"/>
      </w:pPr>
      <w:r>
        <w:t>4.14 </w:t>
      </w:r>
      <w:r>
        <w:rPr>
          <w:i/>
          <w:iCs/>
        </w:rPr>
        <w:t>Коэффициенты чувствительности</w:t>
      </w:r>
      <w:r>
        <w:t xml:space="preserve"> </w:t>
      </w:r>
      <w:r w:rsidR="00EB1B82">
        <w:rPr>
          <w:noProof/>
          <w:position w:val="-9"/>
        </w:rPr>
        <w:drawing>
          <wp:inline distT="0" distB="0" distL="0" distR="0">
            <wp:extent cx="154305" cy="21399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 ..., </w:t>
      </w:r>
      <w:r w:rsidR="00EB1B82">
        <w:rPr>
          <w:noProof/>
          <w:position w:val="-10"/>
        </w:rPr>
        <w:drawing>
          <wp:inline distT="0" distB="0" distL="0" distR="0">
            <wp:extent cx="213995" cy="225425"/>
            <wp:effectExtent l="0" t="0" r="0" b="317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[см. JCGM 100 (5.1.3)] показывают, как на значение оценки </w:t>
      </w:r>
      <w:r w:rsidR="00EB1B82">
        <w:rPr>
          <w:noProof/>
          <w:position w:val="-7"/>
        </w:rPr>
        <w:drawing>
          <wp:inline distT="0" distB="0" distL="0" distR="0">
            <wp:extent cx="142240" cy="166370"/>
            <wp:effectExtent l="0" t="0" r="0" b="508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величины </w:t>
      </w:r>
      <w:r w:rsidR="00EB1B82">
        <w:rPr>
          <w:noProof/>
          <w:position w:val="-7"/>
        </w:rPr>
        <w:drawing>
          <wp:inline distT="0" distB="0" distL="0" distR="0">
            <wp:extent cx="142240" cy="166370"/>
            <wp:effectExtent l="0" t="0" r="0" b="508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будут влиять небольшие изменения в значениях оценок </w:t>
      </w:r>
      <w:r w:rsidR="00EB1B82">
        <w:rPr>
          <w:noProof/>
          <w:position w:val="-9"/>
        </w:rPr>
        <w:drawing>
          <wp:inline distT="0" distB="0" distL="0" distR="0">
            <wp:extent cx="166370" cy="213995"/>
            <wp:effectExtent l="0" t="0" r="508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 </w:t>
      </w:r>
      <w:r w:rsidR="00EB1B82">
        <w:rPr>
          <w:noProof/>
          <w:position w:val="-10"/>
        </w:rPr>
        <w:drawing>
          <wp:inline distT="0" distB="0" distL="0" distR="0">
            <wp:extent cx="225425" cy="225425"/>
            <wp:effectExtent l="0" t="0" r="3175" b="317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входных величин </w:t>
      </w:r>
      <w:r w:rsidR="00EB1B82">
        <w:rPr>
          <w:noProof/>
          <w:position w:val="-9"/>
        </w:rPr>
        <w:drawing>
          <wp:inline distT="0" distB="0" distL="0" distR="0">
            <wp:extent cx="213995" cy="21399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EB1B82">
        <w:rPr>
          <w:noProof/>
          <w:position w:val="-10"/>
        </w:rPr>
        <w:drawing>
          <wp:inline distT="0" distB="0" distL="0" distR="0">
            <wp:extent cx="260985" cy="225425"/>
            <wp:effectExtent l="0" t="0" r="5715" b="317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Для функции измерения (1) </w:t>
      </w:r>
      <w:r w:rsidR="00EB1B82">
        <w:rPr>
          <w:noProof/>
          <w:position w:val="-10"/>
        </w:rPr>
        <w:drawing>
          <wp:inline distT="0" distB="0" distL="0" distR="0">
            <wp:extent cx="154305" cy="225425"/>
            <wp:effectExtent l="0" t="0" r="0" b="317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равен частной производной первого порядка от </w:t>
      </w:r>
      <w:r w:rsidR="00EB1B82">
        <w:rPr>
          <w:noProof/>
          <w:position w:val="-8"/>
        </w:rPr>
        <w:drawing>
          <wp:inline distT="0" distB="0" distL="0" distR="0">
            <wp:extent cx="154305" cy="201930"/>
            <wp:effectExtent l="0" t="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по </w:t>
      </w:r>
      <w:r w:rsidR="00EB1B82">
        <w:rPr>
          <w:noProof/>
          <w:position w:val="-10"/>
        </w:rPr>
        <w:drawing>
          <wp:inline distT="0" distB="0" distL="0" distR="0">
            <wp:extent cx="201930" cy="225425"/>
            <wp:effectExtent l="0" t="0" r="7620" b="317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 точке </w:t>
      </w:r>
      <w:r w:rsidR="00EB1B82">
        <w:rPr>
          <w:noProof/>
          <w:position w:val="-9"/>
        </w:rPr>
        <w:drawing>
          <wp:inline distT="0" distB="0" distL="0" distR="0">
            <wp:extent cx="510540" cy="213995"/>
            <wp:effectExtent l="0" t="0" r="381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t xml:space="preserve">, </w:t>
      </w:r>
      <w:r w:rsidR="00EB1B82">
        <w:rPr>
          <w:noProof/>
          <w:position w:val="-9"/>
        </w:rPr>
        <w:drawing>
          <wp:inline distT="0" distB="0" distL="0" distR="0">
            <wp:extent cx="534670" cy="213995"/>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4670" cy="213995"/>
                    </a:xfrm>
                    <a:prstGeom prst="rect">
                      <a:avLst/>
                    </a:prstGeom>
                    <a:noFill/>
                    <a:ln>
                      <a:noFill/>
                    </a:ln>
                  </pic:spPr>
                </pic:pic>
              </a:graphicData>
            </a:graphic>
          </wp:inline>
        </w:drawing>
      </w:r>
      <w:r>
        <w:t>и т. д. Если функция измерения линейна:</w:t>
      </w:r>
    </w:p>
    <w:p w:rsidR="00000000" w:rsidRDefault="008F68A9">
      <w:pPr>
        <w:pStyle w:val="FORMATTEXT"/>
        <w:ind w:firstLine="568"/>
        <w:jc w:val="both"/>
      </w:pPr>
    </w:p>
    <w:p w:rsidR="00000000" w:rsidRDefault="00EB1B82">
      <w:pPr>
        <w:pStyle w:val="FORMATTEXT"/>
        <w:jc w:val="right"/>
      </w:pPr>
      <w:r>
        <w:rPr>
          <w:noProof/>
          <w:position w:val="-10"/>
        </w:rPr>
        <w:drawing>
          <wp:inline distT="0" distB="0" distL="0" distR="0">
            <wp:extent cx="1401445" cy="225425"/>
            <wp:effectExtent l="0" t="0" r="8255" b="317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01445" cy="225425"/>
                    </a:xfrm>
                    <a:prstGeom prst="rect">
                      <a:avLst/>
                    </a:prstGeom>
                    <a:noFill/>
                    <a:ln>
                      <a:noFill/>
                    </a:ln>
                  </pic:spPr>
                </pic:pic>
              </a:graphicData>
            </a:graphic>
          </wp:inline>
        </w:drawing>
      </w:r>
      <w:r w:rsidR="008F68A9">
        <w:t xml:space="preserve">,                                          (3) </w:t>
      </w:r>
    </w:p>
    <w:p w:rsidR="00000000" w:rsidRDefault="008F68A9">
      <w:pPr>
        <w:pStyle w:val="FORMATTEXT"/>
        <w:jc w:val="both"/>
      </w:pPr>
    </w:p>
    <w:p w:rsidR="00000000" w:rsidRDefault="008F68A9">
      <w:pPr>
        <w:pStyle w:val="FORMATTEXT"/>
        <w:jc w:val="both"/>
      </w:pPr>
    </w:p>
    <w:p w:rsidR="00000000" w:rsidRDefault="008F68A9">
      <w:pPr>
        <w:pStyle w:val="FORMATTEXT"/>
        <w:jc w:val="both"/>
      </w:pPr>
      <w:r>
        <w:t xml:space="preserve">то при независимых </w:t>
      </w:r>
      <w:r w:rsidR="00EB1B82">
        <w:rPr>
          <w:noProof/>
          <w:position w:val="-9"/>
        </w:rPr>
        <w:drawing>
          <wp:inline distT="0" distB="0" distL="0" distR="0">
            <wp:extent cx="213995" cy="21399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EB1B82">
        <w:rPr>
          <w:noProof/>
          <w:position w:val="-10"/>
        </w:rPr>
        <w:drawing>
          <wp:inline distT="0" distB="0" distL="0" distR="0">
            <wp:extent cx="260985" cy="225425"/>
            <wp:effectExtent l="0" t="0" r="5715" b="317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изменение значения </w:t>
      </w:r>
      <w:r w:rsidR="00EB1B82">
        <w:rPr>
          <w:noProof/>
          <w:position w:val="-10"/>
        </w:rPr>
        <w:drawing>
          <wp:inline distT="0" distB="0" distL="0" distR="0">
            <wp:extent cx="166370" cy="225425"/>
            <wp:effectExtent l="0" t="0" r="5080" b="317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на </w:t>
      </w:r>
      <w:r w:rsidR="00EB1B82">
        <w:rPr>
          <w:noProof/>
          <w:position w:val="-10"/>
        </w:rPr>
        <w:drawing>
          <wp:inline distT="0" distB="0" distL="0" distR="0">
            <wp:extent cx="368300" cy="225425"/>
            <wp:effectExtent l="0" t="0" r="0" b="317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приведет к изменению значения </w:t>
      </w:r>
      <w:r w:rsidR="00EB1B82">
        <w:rPr>
          <w:noProof/>
          <w:position w:val="-7"/>
        </w:rPr>
        <w:drawing>
          <wp:inline distT="0" distB="0" distL="0" distR="0">
            <wp:extent cx="142240" cy="166370"/>
            <wp:effectExtent l="0" t="0" r="0" b="508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на </w:t>
      </w:r>
      <w:r w:rsidR="00EB1B82">
        <w:rPr>
          <w:noProof/>
          <w:position w:val="-10"/>
        </w:rPr>
        <w:drawing>
          <wp:inline distT="0" distB="0" distL="0" distR="0">
            <wp:extent cx="487045" cy="225425"/>
            <wp:effectExtent l="0" t="0" r="8255" b="317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 xml:space="preserve">. То же самое будет справедливо в некотором приближении для большинства моделей, описываемых формулами (1) и (2) (см. 7.2.4). Сравнение значений </w:t>
      </w:r>
      <w:r w:rsidR="00EB1B82">
        <w:rPr>
          <w:noProof/>
          <w:position w:val="-10"/>
        </w:rPr>
        <w:drawing>
          <wp:inline distT="0" distB="0" distL="0" distR="0">
            <wp:extent cx="641350" cy="225425"/>
            <wp:effectExtent l="0" t="0" r="6350" b="317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t xml:space="preserve">для разных </w:t>
      </w:r>
      <w:r w:rsidR="00EB1B82">
        <w:rPr>
          <w:noProof/>
          <w:position w:val="-7"/>
        </w:rPr>
        <w:drawing>
          <wp:inline distT="0" distB="0" distL="0" distR="0">
            <wp:extent cx="83185" cy="166370"/>
            <wp:effectExtent l="0" t="0" r="0" b="508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позволяет оценить вклад каждой входной величины в стандартную неопределенность </w:t>
      </w:r>
      <w:r w:rsidR="00EB1B82">
        <w:rPr>
          <w:noProof/>
          <w:position w:val="-8"/>
        </w:rPr>
        <w:drawing>
          <wp:inline distT="0" distB="0" distL="0" distR="0">
            <wp:extent cx="308610" cy="201930"/>
            <wp:effectExtent l="0" t="0" r="0" b="762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ассоциированную с </w:t>
      </w:r>
      <w:r w:rsidR="00EB1B82">
        <w:rPr>
          <w:noProof/>
          <w:position w:val="-7"/>
        </w:rPr>
        <w:drawing>
          <wp:inline distT="0" distB="0" distL="0" distR="0">
            <wp:extent cx="142240" cy="166370"/>
            <wp:effectExtent l="0" t="0" r="0" b="508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8F68A9">
      <w:pPr>
        <w:pStyle w:val="FORMATTEXT"/>
        <w:ind w:firstLine="568"/>
        <w:jc w:val="both"/>
      </w:pPr>
      <w:r>
        <w:t xml:space="preserve">4.15 Стандартную неопределенность </w:t>
      </w:r>
      <w:r w:rsidR="00EB1B82">
        <w:rPr>
          <w:noProof/>
          <w:position w:val="-8"/>
        </w:rPr>
        <w:drawing>
          <wp:inline distT="0" distB="0" distL="0" distR="0">
            <wp:extent cx="308610" cy="201930"/>
            <wp:effectExtent l="0" t="0" r="0" b="762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ассоции</w:t>
      </w:r>
      <w:r>
        <w:t xml:space="preserve">рованную со значением оценки </w:t>
      </w:r>
      <w:r w:rsidR="00EB1B82">
        <w:rPr>
          <w:noProof/>
          <w:position w:val="-7"/>
        </w:rPr>
        <w:drawing>
          <wp:inline distT="0" distB="0" distL="0" distR="0">
            <wp:extent cx="142240" cy="166370"/>
            <wp:effectExtent l="0" t="0" r="0" b="508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выходной величины </w:t>
      </w:r>
      <w:r w:rsidR="00EB1B82">
        <w:rPr>
          <w:noProof/>
          <w:position w:val="-7"/>
        </w:rPr>
        <w:drawing>
          <wp:inline distT="0" distB="0" distL="0" distR="0">
            <wp:extent cx="142240" cy="166370"/>
            <wp:effectExtent l="0" t="0" r="0" b="508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получают суммированием не самих значений </w:t>
      </w:r>
      <w:r w:rsidR="00EB1B82">
        <w:rPr>
          <w:noProof/>
          <w:position w:val="-10"/>
        </w:rPr>
        <w:drawing>
          <wp:inline distT="0" distB="0" distL="0" distR="0">
            <wp:extent cx="641350" cy="225425"/>
            <wp:effectExtent l="0" t="0" r="6350" b="317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t>, а их квадратов, т.е.</w:t>
      </w:r>
    </w:p>
    <w:p w:rsidR="00000000" w:rsidRDefault="008F68A9">
      <w:pPr>
        <w:pStyle w:val="FORMATTEXT"/>
        <w:ind w:firstLine="568"/>
        <w:jc w:val="both"/>
      </w:pPr>
    </w:p>
    <w:p w:rsidR="00000000" w:rsidRDefault="00EB1B82">
      <w:pPr>
        <w:pStyle w:val="FORMATTEXT"/>
        <w:jc w:val="right"/>
      </w:pPr>
      <w:r>
        <w:rPr>
          <w:noProof/>
          <w:position w:val="-11"/>
        </w:rPr>
        <w:drawing>
          <wp:inline distT="0" distB="0" distL="0" distR="0">
            <wp:extent cx="2161540" cy="260985"/>
            <wp:effectExtent l="0" t="0" r="0" b="571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61540" cy="260985"/>
                    </a:xfrm>
                    <a:prstGeom prst="rect">
                      <a:avLst/>
                    </a:prstGeom>
                    <a:noFill/>
                    <a:ln>
                      <a:noFill/>
                    </a:ln>
                  </pic:spPr>
                </pic:pic>
              </a:graphicData>
            </a:graphic>
          </wp:inline>
        </w:drawing>
      </w:r>
      <w:r w:rsidR="008F68A9">
        <w:t xml:space="preserve">.                                  (4) </w:t>
      </w:r>
    </w:p>
    <w:p w:rsidR="00000000" w:rsidRDefault="008F68A9">
      <w:pPr>
        <w:pStyle w:val="FORMATTEXT"/>
        <w:ind w:firstLine="568"/>
        <w:jc w:val="both"/>
      </w:pPr>
      <w:r>
        <w:lastRenderedPageBreak/>
        <w:t>Формула (4) будет справедлива в некотором приближении для большинства моделей измерения, определяемых формулами (1) и (2).</w:t>
      </w:r>
    </w:p>
    <w:p w:rsidR="00000000" w:rsidRDefault="008F68A9">
      <w:pPr>
        <w:pStyle w:val="FORMATTEXT"/>
        <w:ind w:firstLine="568"/>
        <w:jc w:val="both"/>
      </w:pPr>
    </w:p>
    <w:p w:rsidR="00000000" w:rsidRDefault="008F68A9">
      <w:pPr>
        <w:pStyle w:val="FORMATTEXT"/>
        <w:ind w:firstLine="568"/>
        <w:jc w:val="both"/>
      </w:pPr>
      <w:r>
        <w:t xml:space="preserve">4.16* Если входные величины </w:t>
      </w:r>
      <w:r w:rsidR="00EB1B82">
        <w:rPr>
          <w:noProof/>
          <w:position w:val="-10"/>
        </w:rPr>
        <w:drawing>
          <wp:inline distT="0" distB="0" distL="0" distR="0">
            <wp:extent cx="201930" cy="225425"/>
            <wp:effectExtent l="0" t="0" r="7620" b="317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взаимозависимы, то формулу </w:t>
      </w:r>
      <w:r>
        <w:t xml:space="preserve">(4) следует дополнить слагаемыми, содержащими ковариации [см. JCGM 100 (5.2.2)], которые могут увеличить или уменьшить значение </w:t>
      </w:r>
      <w:r w:rsidR="00EB1B82">
        <w:rPr>
          <w:noProof/>
          <w:position w:val="-8"/>
        </w:rPr>
        <w:drawing>
          <wp:inline distT="0" distB="0" distL="0" distR="0">
            <wp:extent cx="308610" cy="201930"/>
            <wp:effectExtent l="0" t="0" r="0" b="762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w:t>
      </w:r>
    </w:p>
    <w:p w:rsidR="00000000" w:rsidRDefault="008F68A9">
      <w:pPr>
        <w:pStyle w:val="FORMATTEXT"/>
        <w:jc w:val="both"/>
      </w:pPr>
      <w:r>
        <w:t xml:space="preserve">_______________ </w:t>
      </w:r>
    </w:p>
    <w:p w:rsidR="00000000" w:rsidRDefault="008F68A9">
      <w:pPr>
        <w:pStyle w:val="FORMATTEXT"/>
        <w:ind w:firstLine="568"/>
        <w:jc w:val="both"/>
      </w:pPr>
      <w:r>
        <w:t xml:space="preserve">* Пункт 4.17, относящийся к использованию десятичного разделителя только </w:t>
      </w:r>
      <w:r>
        <w:t>в отношении англоязычной версии документа, исключен.</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5 Этапы оценивания неопределенности </w:t>
      </w:r>
    </w:p>
    <w:p w:rsidR="00000000" w:rsidRDefault="008F68A9">
      <w:pPr>
        <w:pStyle w:val="FORMATTEXT"/>
        <w:ind w:firstLine="568"/>
        <w:jc w:val="both"/>
      </w:pPr>
      <w:r>
        <w:t>5.1 Основные этапы оценивания неопределенности включают в себя формулировку измерительной задачи и вычисления. Последнее включает в себя трансформирование рас</w:t>
      </w:r>
      <w:r>
        <w:t>пределений вероятностей и получение окончательного результата.</w:t>
      </w:r>
    </w:p>
    <w:p w:rsidR="00000000" w:rsidRDefault="008F68A9">
      <w:pPr>
        <w:pStyle w:val="FORMATTEXT"/>
        <w:ind w:firstLine="568"/>
        <w:jc w:val="both"/>
      </w:pPr>
    </w:p>
    <w:p w:rsidR="00000000" w:rsidRDefault="008F68A9">
      <w:pPr>
        <w:pStyle w:val="FORMATTEXT"/>
        <w:ind w:firstLine="568"/>
        <w:jc w:val="both"/>
      </w:pPr>
      <w:r>
        <w:t>5.2 Этап формулировки измерительной задачи (см. раздел 6) включает в себя:</w:t>
      </w:r>
    </w:p>
    <w:p w:rsidR="00000000" w:rsidRDefault="008F68A9">
      <w:pPr>
        <w:pStyle w:val="FORMATTEXT"/>
        <w:ind w:firstLine="568"/>
        <w:jc w:val="both"/>
      </w:pPr>
    </w:p>
    <w:p w:rsidR="00000000" w:rsidRDefault="008F68A9">
      <w:pPr>
        <w:pStyle w:val="FORMATTEXT"/>
        <w:ind w:firstLine="568"/>
        <w:jc w:val="both"/>
      </w:pPr>
      <w:r>
        <w:t xml:space="preserve">a) задание выходной величины </w:t>
      </w:r>
      <w:r w:rsidR="00EB1B82">
        <w:rPr>
          <w:noProof/>
          <w:position w:val="-7"/>
        </w:rPr>
        <w:drawing>
          <wp:inline distT="0" distB="0" distL="0" distR="0">
            <wp:extent cx="142240" cy="166370"/>
            <wp:effectExtent l="0" t="0" r="0" b="508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(измеряемой величины);</w:t>
      </w:r>
    </w:p>
    <w:p w:rsidR="00000000" w:rsidRDefault="008F68A9">
      <w:pPr>
        <w:pStyle w:val="FORMATTEXT"/>
        <w:ind w:firstLine="568"/>
        <w:jc w:val="both"/>
      </w:pPr>
    </w:p>
    <w:p w:rsidR="00000000" w:rsidRDefault="008F68A9">
      <w:pPr>
        <w:pStyle w:val="FORMATTEXT"/>
        <w:ind w:firstLine="568"/>
        <w:jc w:val="both"/>
      </w:pPr>
      <w:r>
        <w:t xml:space="preserve">b) выявление входных величин, от которых зависит </w:t>
      </w:r>
      <w:r w:rsidR="00EB1B82">
        <w:rPr>
          <w:noProof/>
          <w:position w:val="-7"/>
        </w:rPr>
        <w:drawing>
          <wp:inline distT="0" distB="0" distL="0" distR="0">
            <wp:extent cx="142240" cy="166370"/>
            <wp:effectExtent l="0" t="0" r="0" b="508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8F68A9">
      <w:pPr>
        <w:pStyle w:val="FORMATTEXT"/>
        <w:ind w:firstLine="568"/>
        <w:jc w:val="both"/>
      </w:pPr>
      <w:r>
        <w:t xml:space="preserve">c) составление модели измерения, определяющей соотношение </w:t>
      </w:r>
      <w:r w:rsidR="00EB1B82">
        <w:rPr>
          <w:noProof/>
          <w:position w:val="-7"/>
        </w:rPr>
        <w:drawing>
          <wp:inline distT="0" distB="0" distL="0" distR="0">
            <wp:extent cx="142240" cy="166370"/>
            <wp:effectExtent l="0" t="0" r="0" b="508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 входными величи</w:t>
      </w:r>
      <w:r>
        <w:t>нами;</w:t>
      </w:r>
    </w:p>
    <w:p w:rsidR="00000000" w:rsidRDefault="008F68A9">
      <w:pPr>
        <w:pStyle w:val="FORMATTEXT"/>
        <w:ind w:firstLine="568"/>
        <w:jc w:val="both"/>
      </w:pPr>
    </w:p>
    <w:p w:rsidR="00000000" w:rsidRDefault="008F68A9">
      <w:pPr>
        <w:pStyle w:val="FORMATTEXT"/>
        <w:ind w:firstLine="568"/>
        <w:jc w:val="both"/>
      </w:pPr>
      <w:r>
        <w:t>d) приписывание распределений вероятностей (нормального, прямоугольного и т.д.) входным величинам (или совместного распределения вероятностей входным величинам, не являющимся независимыми) на основе имеющейся информации.</w:t>
      </w:r>
    </w:p>
    <w:p w:rsidR="00000000" w:rsidRDefault="008F68A9">
      <w:pPr>
        <w:pStyle w:val="FORMATTEXT"/>
        <w:ind w:firstLine="568"/>
        <w:jc w:val="both"/>
      </w:pPr>
    </w:p>
    <w:p w:rsidR="00000000" w:rsidRDefault="008F68A9">
      <w:pPr>
        <w:pStyle w:val="FORMATTEXT"/>
        <w:ind w:firstLine="568"/>
        <w:jc w:val="both"/>
      </w:pPr>
      <w:r>
        <w:t>5.3 Этап вычислений (см. ра</w:t>
      </w:r>
      <w:r>
        <w:t xml:space="preserve">здел 7) состоит из трансформирования по данной модели измерения распределений вероятностей для входных величин в распределение вероятностей для выходной величины </w:t>
      </w:r>
      <w:r w:rsidR="00EB1B82">
        <w:rPr>
          <w:noProof/>
          <w:position w:val="-7"/>
        </w:rPr>
        <w:drawing>
          <wp:inline distT="0" distB="0" distL="0" distR="0">
            <wp:extent cx="142240" cy="166370"/>
            <wp:effectExtent l="0" t="0" r="0" b="508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 использования этого распределения для получения:</w:t>
      </w:r>
    </w:p>
    <w:p w:rsidR="00000000" w:rsidRDefault="008F68A9">
      <w:pPr>
        <w:pStyle w:val="FORMATTEXT"/>
        <w:ind w:firstLine="568"/>
        <w:jc w:val="both"/>
      </w:pPr>
    </w:p>
    <w:p w:rsidR="00000000" w:rsidRDefault="008F68A9">
      <w:pPr>
        <w:pStyle w:val="FORMATTEXT"/>
        <w:ind w:firstLine="568"/>
        <w:jc w:val="both"/>
      </w:pPr>
      <w:r>
        <w:t>a) мате</w:t>
      </w:r>
      <w:r>
        <w:t xml:space="preserve">матического ожидания </w:t>
      </w:r>
      <w:r w:rsidR="00EB1B82">
        <w:rPr>
          <w:noProof/>
          <w:position w:val="-7"/>
        </w:rPr>
        <w:drawing>
          <wp:inline distT="0" distB="0" distL="0" distR="0">
            <wp:extent cx="142240" cy="166370"/>
            <wp:effectExtent l="0" t="0" r="0" b="508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принимаемого как значение оценки </w:t>
      </w:r>
      <w:r w:rsidR="00EB1B82">
        <w:rPr>
          <w:noProof/>
          <w:position w:val="-7"/>
        </w:rPr>
        <w:drawing>
          <wp:inline distT="0" distB="0" distL="0" distR="0">
            <wp:extent cx="142240" cy="166370"/>
            <wp:effectExtent l="0" t="0" r="0" b="508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величины </w:t>
      </w:r>
      <w:r w:rsidR="00EB1B82">
        <w:rPr>
          <w:noProof/>
          <w:position w:val="-7"/>
        </w:rPr>
        <w:drawing>
          <wp:inline distT="0" distB="0" distL="0" distR="0">
            <wp:extent cx="142240" cy="166370"/>
            <wp:effectExtent l="0" t="0" r="0" b="508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8F68A9">
      <w:pPr>
        <w:pStyle w:val="FORMATTEXT"/>
        <w:ind w:firstLine="568"/>
        <w:jc w:val="both"/>
      </w:pPr>
      <w:r>
        <w:t xml:space="preserve">b) стандартного отклонения величины </w:t>
      </w:r>
      <w:r w:rsidR="00EB1B82">
        <w:rPr>
          <w:noProof/>
          <w:position w:val="-7"/>
        </w:rPr>
        <w:drawing>
          <wp:inline distT="0" distB="0" distL="0" distR="0">
            <wp:extent cx="142240" cy="166370"/>
            <wp:effectExtent l="0" t="0" r="0" b="508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принимаем</w:t>
      </w:r>
      <w:r>
        <w:t xml:space="preserve">ого как стандартная неопределенность </w:t>
      </w:r>
      <w:r w:rsidR="00EB1B82">
        <w:rPr>
          <w:noProof/>
          <w:position w:val="-8"/>
        </w:rPr>
        <w:drawing>
          <wp:inline distT="0" distB="0" distL="0" distR="0">
            <wp:extent cx="308610" cy="201930"/>
            <wp:effectExtent l="0" t="0" r="0" b="762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ассоциированная с </w:t>
      </w:r>
      <w:r w:rsidR="00EB1B82">
        <w:rPr>
          <w:noProof/>
          <w:position w:val="-7"/>
        </w:rPr>
        <w:drawing>
          <wp:inline distT="0" distB="0" distL="0" distR="0">
            <wp:extent cx="142240" cy="166370"/>
            <wp:effectExtent l="0" t="0" r="0" b="508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[см. JCGM 100 (Е.3.2)];</w:t>
      </w:r>
    </w:p>
    <w:p w:rsidR="00000000" w:rsidRDefault="008F68A9">
      <w:pPr>
        <w:pStyle w:val="FORMATTEXT"/>
        <w:ind w:firstLine="568"/>
        <w:jc w:val="both"/>
      </w:pPr>
    </w:p>
    <w:p w:rsidR="00000000" w:rsidRDefault="008F68A9">
      <w:pPr>
        <w:pStyle w:val="FORMATTEXT"/>
        <w:ind w:firstLine="568"/>
        <w:jc w:val="both"/>
      </w:pPr>
      <w:r>
        <w:t xml:space="preserve">c) интервала охвата, содержащего </w:t>
      </w:r>
      <w:r w:rsidR="00EB1B82">
        <w:rPr>
          <w:noProof/>
          <w:position w:val="-7"/>
        </w:rPr>
        <w:drawing>
          <wp:inline distT="0" distB="0" distL="0" distR="0">
            <wp:extent cx="142240" cy="166370"/>
            <wp:effectExtent l="0" t="0" r="0" b="508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 заданной вероятностью охвата.</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6 Составление модели измерений </w:t>
      </w:r>
    </w:p>
    <w:p w:rsidR="00000000" w:rsidRDefault="008F68A9">
      <w:pPr>
        <w:pStyle w:val="FORMATTEXT"/>
        <w:ind w:firstLine="568"/>
        <w:jc w:val="both"/>
      </w:pPr>
      <w:r>
        <w:t>6.1 Этап формулирования измерительной задачи при оценивании неопределенности включает в себя разработку модели измерений, учет соответствующих поправок и других воздействий, если это необходимо. В некоторых областях и</w:t>
      </w:r>
      <w:r>
        <w:t xml:space="preserve">змерений выполнение данного этапа может представлять сложность. Он также включает в себя использование доступной информации для описания входных величин модели через распределения вероятностей. В [6] приведено руководство по разработке и применению модели </w:t>
      </w:r>
      <w:r>
        <w:t>измерений. Приписывание распределений вероятностей входным величинам модели измерений рассмотрено в JCGM 101 и в [5].</w:t>
      </w:r>
    </w:p>
    <w:p w:rsidR="00000000" w:rsidRDefault="008F68A9">
      <w:pPr>
        <w:pStyle w:val="FORMATTEXT"/>
        <w:ind w:firstLine="568"/>
        <w:jc w:val="both"/>
      </w:pPr>
    </w:p>
    <w:p w:rsidR="00000000" w:rsidRDefault="008F68A9">
      <w:pPr>
        <w:pStyle w:val="FORMATTEXT"/>
        <w:ind w:firstLine="568"/>
        <w:jc w:val="both"/>
      </w:pPr>
      <w:r>
        <w:t>6.2 Вначале составляют модель, связывающую выходную величину с входными величинами. В некоторых задачах выходных величин может быть более</w:t>
      </w:r>
      <w:r>
        <w:t xml:space="preserve"> одной (см. 6.5). Модель формируют на основе теоретических и/или эмпирических знаний с учетом специфики измерительной задачи (например, измерения электрических параметров, линейных размеров, температуры, массы). Затем модель дополняют другими входными вели</w:t>
      </w:r>
      <w:r>
        <w:t>чинами, посредством которых описывают эффекты случайного и систематического влияния на результат измерения. Руководство по учету дополнительных входных величин приведено в [6].</w:t>
      </w:r>
    </w:p>
    <w:p w:rsidR="00000000" w:rsidRDefault="008F68A9">
      <w:pPr>
        <w:pStyle w:val="FORMATTEXT"/>
        <w:ind w:firstLine="568"/>
        <w:jc w:val="both"/>
      </w:pPr>
    </w:p>
    <w:p w:rsidR="00000000" w:rsidRDefault="008F68A9">
      <w:pPr>
        <w:pStyle w:val="FORMATTEXT"/>
        <w:ind w:firstLine="568"/>
        <w:jc w:val="both"/>
      </w:pPr>
      <w:r>
        <w:t>6.3 Класс моделей, рассматриваемых в [6], более широк, чем в GUM, и включает в</w:t>
      </w:r>
      <w:r>
        <w:t xml:space="preserve"> себя классификацию по следующим признакам:</w:t>
      </w:r>
    </w:p>
    <w:p w:rsidR="00000000" w:rsidRDefault="008F68A9">
      <w:pPr>
        <w:pStyle w:val="FORMATTEXT"/>
        <w:ind w:firstLine="568"/>
        <w:jc w:val="both"/>
      </w:pPr>
    </w:p>
    <w:p w:rsidR="00000000" w:rsidRDefault="008F68A9">
      <w:pPr>
        <w:pStyle w:val="FORMATTEXT"/>
        <w:ind w:firstLine="568"/>
        <w:jc w:val="both"/>
      </w:pPr>
      <w:r>
        <w:t>a) по виду входящих в модель величин: действительные или комплексные;</w:t>
      </w:r>
    </w:p>
    <w:p w:rsidR="00000000" w:rsidRDefault="008F68A9">
      <w:pPr>
        <w:pStyle w:val="FORMATTEXT"/>
        <w:ind w:firstLine="568"/>
        <w:jc w:val="both"/>
      </w:pPr>
    </w:p>
    <w:p w:rsidR="00000000" w:rsidRDefault="008F68A9">
      <w:pPr>
        <w:pStyle w:val="FORMATTEXT"/>
        <w:ind w:firstLine="568"/>
        <w:jc w:val="both"/>
      </w:pPr>
      <w:r>
        <w:t>b) по виду модели: в виде функции измерений [формула (1)] или в общем виде [формула (2)];</w:t>
      </w:r>
    </w:p>
    <w:p w:rsidR="00000000" w:rsidRDefault="008F68A9">
      <w:pPr>
        <w:pStyle w:val="FORMATTEXT"/>
        <w:ind w:firstLine="568"/>
        <w:jc w:val="both"/>
      </w:pPr>
    </w:p>
    <w:p w:rsidR="00000000" w:rsidRDefault="008F68A9">
      <w:pPr>
        <w:pStyle w:val="FORMATTEXT"/>
        <w:ind w:firstLine="568"/>
        <w:jc w:val="both"/>
      </w:pPr>
      <w:r>
        <w:t>c) по числу выходных величин: одна или более (см</w:t>
      </w:r>
      <w:r>
        <w:t>. 6.5).</w:t>
      </w:r>
    </w:p>
    <w:p w:rsidR="00000000" w:rsidRDefault="008F68A9">
      <w:pPr>
        <w:pStyle w:val="FORMATTEXT"/>
        <w:ind w:firstLine="568"/>
        <w:jc w:val="both"/>
      </w:pPr>
    </w:p>
    <w:p w:rsidR="00000000" w:rsidRDefault="008F68A9">
      <w:pPr>
        <w:pStyle w:val="FORMATTEXT"/>
        <w:ind w:firstLine="568"/>
        <w:jc w:val="both"/>
      </w:pPr>
      <w:r>
        <w:t>Комплексные величины, указанные в перечислении а), используются, главным образом, в измерениях электрических величин, в акустике и оптике. Для функции измерений, указанной в перечислении b), выходная величина выражается непосредственно в виде форм</w:t>
      </w:r>
      <w:r>
        <w:t>улы, в которую входят величины, в то время как модель измерения в общем виде представляет собой уравнение, которое необходимо решить относительной выходной величины (см. 6.5).</w:t>
      </w:r>
    </w:p>
    <w:p w:rsidR="00000000" w:rsidRDefault="008F68A9">
      <w:pPr>
        <w:pStyle w:val="FORMATTEXT"/>
        <w:ind w:firstLine="568"/>
        <w:jc w:val="both"/>
      </w:pPr>
    </w:p>
    <w:p w:rsidR="00000000" w:rsidRDefault="008F68A9">
      <w:pPr>
        <w:pStyle w:val="FORMATTEXT"/>
        <w:ind w:firstLine="568"/>
        <w:jc w:val="both"/>
      </w:pPr>
      <w:r>
        <w:t>6.4 Разнообразные варианты применения [6] проиллюстрированы на примерах из разн</w:t>
      </w:r>
      <w:r>
        <w:t>ых областей метрологии. Кроме того, в этом документе приведено руководство по разным аспектам численного анализа в связи с рассматриваемыми примерами. Документ также включает в себя рассмотрение вопросов замены переменных таким образом, чтобы устранить или</w:t>
      </w:r>
      <w:r>
        <w:t xml:space="preserve"> уменьшить коррелированность входящих в модель величин.</w:t>
      </w:r>
    </w:p>
    <w:p w:rsidR="00000000" w:rsidRDefault="008F68A9">
      <w:pPr>
        <w:pStyle w:val="FORMATTEXT"/>
        <w:ind w:firstLine="568"/>
        <w:jc w:val="both"/>
      </w:pPr>
    </w:p>
    <w:p w:rsidR="00000000" w:rsidRDefault="008F68A9">
      <w:pPr>
        <w:pStyle w:val="FORMATTEXT"/>
        <w:ind w:firstLine="568"/>
        <w:jc w:val="both"/>
      </w:pPr>
      <w:r>
        <w:t xml:space="preserve">6.5 В GUM и JCGM 101 рассматриваются, в основном, модели измерений в виде функций измерения, в которых есть только одна выходная величина </w:t>
      </w:r>
      <w:r w:rsidR="00EB1B82">
        <w:rPr>
          <w:noProof/>
          <w:position w:val="-7"/>
        </w:rPr>
        <w:drawing>
          <wp:inline distT="0" distB="0" distL="0" distR="0">
            <wp:extent cx="142240" cy="166370"/>
            <wp:effectExtent l="0" t="0" r="0" b="508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Однако существует множе</w:t>
      </w:r>
      <w:r>
        <w:t xml:space="preserve">ство измерительных задач, в которых необходимо рассматривать несколько выходных величин </w:t>
      </w:r>
      <w:r w:rsidR="00EB1B82">
        <w:rPr>
          <w:noProof/>
          <w:position w:val="-9"/>
        </w:rPr>
        <w:drawing>
          <wp:inline distT="0" distB="0" distL="0" distR="0">
            <wp:extent cx="154305" cy="21399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 ..., </w:t>
      </w:r>
      <w:r w:rsidR="00EB1B82">
        <w:rPr>
          <w:noProof/>
          <w:position w:val="-10"/>
        </w:rPr>
        <w:drawing>
          <wp:inline distT="0" distB="0" distL="0" distR="0">
            <wp:extent cx="201930" cy="225425"/>
            <wp:effectExtent l="0" t="0" r="7620" b="317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зависящих от одних и тех же входных величин. Приведенные в [6] примеры включают в себя сл</w:t>
      </w:r>
      <w:r>
        <w:t>учаи, когда а) выходная величина является комплексной и представлена в виде действительной и мнимой частей (или амплитуды и фазы); b) выходные величины представляют собой параметры градуировочной характеристики; с) выходные величины описывают геометрию пов</w:t>
      </w:r>
      <w:r>
        <w:t xml:space="preserve">ерхности объекта. Хотя подобные вопросы затрагиваются в GUM при рассмотрении примеров одновременного измерения активного и реактивного сопротивления [JCGM 100 (раздел Н.2)] и калибровки термометра [JCGM 100 (раздел Н.3)], специальному анализу в GUM они не </w:t>
      </w:r>
      <w:r>
        <w:t>подвергаются.</w:t>
      </w:r>
    </w:p>
    <w:p w:rsidR="00000000" w:rsidRDefault="008F68A9">
      <w:pPr>
        <w:pStyle w:val="FORMATTEXT"/>
        <w:ind w:firstLine="568"/>
        <w:jc w:val="both"/>
      </w:pPr>
    </w:p>
    <w:p w:rsidR="00000000" w:rsidRDefault="008F68A9">
      <w:pPr>
        <w:pStyle w:val="FORMATTEXT"/>
        <w:ind w:firstLine="568"/>
        <w:jc w:val="both"/>
      </w:pPr>
      <w:r>
        <w:t>6.6 Этап формулирования измерительной задачи при оценивании неопределенности для случая с более чем одной измеряемой величиной мало отличается от аналогичного этапа для модели измерения с единственной измеряемой величиной. Он включает в себя</w:t>
      </w:r>
      <w:r>
        <w:t xml:space="preserve"> разработку модели и приписывание распределений вероятностей входным величинам на основе доступной информации. Как и для модели измерений с одной выходной величиной, существует оценка каждой входной величины и стандартной неопределенности, ассоциированные </w:t>
      </w:r>
      <w:r>
        <w:t>с этой оценкой (и возможные ковариации, ассоциированные с парами оценок). Но так как в общем случае каждая выходная величина зависит от всех входных величин, то в дополнение к определению оценок этих выходных величин и ассоциированных с ними стандартных не</w:t>
      </w:r>
      <w:r>
        <w:t>определенностей необходимо будет оценивать ковариации, ассоциированные со всеми парами выходных оценок.</w:t>
      </w:r>
    </w:p>
    <w:p w:rsidR="00000000" w:rsidRDefault="008F68A9">
      <w:pPr>
        <w:pStyle w:val="FORMATTEXT"/>
        <w:ind w:firstLine="568"/>
        <w:jc w:val="both"/>
      </w:pPr>
    </w:p>
    <w:p w:rsidR="00000000" w:rsidRDefault="008F68A9">
      <w:pPr>
        <w:pStyle w:val="FORMATTEXT"/>
        <w:ind w:firstLine="568"/>
        <w:jc w:val="both"/>
      </w:pPr>
      <w:r>
        <w:t xml:space="preserve">6.7 Эквивалентом функции измерения (1) для произвольного числа </w:t>
      </w:r>
      <w:r w:rsidR="00EB1B82">
        <w:rPr>
          <w:noProof/>
          <w:position w:val="-6"/>
        </w:rPr>
        <w:drawing>
          <wp:inline distT="0" distB="0" distL="0" distR="0">
            <wp:extent cx="166370" cy="142240"/>
            <wp:effectExtent l="0" t="0" r="508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выходных величин являются формулы</w:t>
      </w:r>
    </w:p>
    <w:p w:rsidR="00000000" w:rsidRDefault="008F68A9">
      <w:pPr>
        <w:pStyle w:val="FORMATTEXT"/>
        <w:ind w:firstLine="568"/>
        <w:jc w:val="both"/>
      </w:pPr>
    </w:p>
    <w:p w:rsidR="00000000" w:rsidRDefault="00EB1B82">
      <w:pPr>
        <w:pStyle w:val="FORMATTEXT"/>
        <w:jc w:val="right"/>
      </w:pPr>
      <w:r>
        <w:rPr>
          <w:noProof/>
          <w:position w:val="-10"/>
        </w:rPr>
        <w:drawing>
          <wp:inline distT="0" distB="0" distL="0" distR="0">
            <wp:extent cx="4370070" cy="237490"/>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70070" cy="237490"/>
                    </a:xfrm>
                    <a:prstGeom prst="rect">
                      <a:avLst/>
                    </a:prstGeom>
                    <a:noFill/>
                    <a:ln>
                      <a:noFill/>
                    </a:ln>
                  </pic:spPr>
                </pic:pic>
              </a:graphicData>
            </a:graphic>
          </wp:inline>
        </w:drawing>
      </w:r>
      <w:r w:rsidR="008F68A9">
        <w:t xml:space="preserve">         (5) </w:t>
      </w:r>
    </w:p>
    <w:p w:rsidR="00000000" w:rsidRDefault="008F68A9">
      <w:pPr>
        <w:pStyle w:val="FORMATTEXT"/>
        <w:jc w:val="both"/>
      </w:pPr>
    </w:p>
    <w:p w:rsidR="00000000" w:rsidRDefault="008F68A9">
      <w:pPr>
        <w:pStyle w:val="FORMATTEXT"/>
        <w:jc w:val="both"/>
      </w:pPr>
    </w:p>
    <w:p w:rsidR="00000000" w:rsidRDefault="008F68A9">
      <w:pPr>
        <w:pStyle w:val="FORMATTEXT"/>
        <w:jc w:val="both"/>
      </w:pPr>
      <w:r>
        <w:t xml:space="preserve">для </w:t>
      </w:r>
      <w:r w:rsidR="00EB1B82">
        <w:rPr>
          <w:noProof/>
          <w:position w:val="-6"/>
        </w:rPr>
        <w:drawing>
          <wp:inline distT="0" distB="0" distL="0" distR="0">
            <wp:extent cx="166370" cy="142240"/>
            <wp:effectExtent l="0" t="0" r="508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функций </w:t>
      </w:r>
      <w:r w:rsidR="00EB1B82">
        <w:rPr>
          <w:noProof/>
          <w:position w:val="-9"/>
        </w:rPr>
        <w:drawing>
          <wp:inline distT="0" distB="0" distL="0" distR="0">
            <wp:extent cx="166370" cy="213995"/>
            <wp:effectExtent l="0" t="0" r="508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EB1B82">
        <w:rPr>
          <w:noProof/>
          <w:position w:val="-10"/>
        </w:rPr>
        <w:drawing>
          <wp:inline distT="0" distB="0" distL="0" distR="0">
            <wp:extent cx="213995" cy="225425"/>
            <wp:effectExtent l="0" t="0" r="0" b="317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 Схематично формула (5) изображена рисунком 5. </w:t>
      </w:r>
    </w:p>
    <w:p w:rsidR="00000000" w:rsidRDefault="00EB1B82">
      <w:pPr>
        <w:pStyle w:val="TOPLEVELTEXT"/>
        <w:jc w:val="center"/>
      </w:pPr>
      <w:r>
        <w:rPr>
          <w:noProof/>
          <w:position w:val="-28"/>
        </w:rPr>
        <w:drawing>
          <wp:inline distT="0" distB="0" distL="0" distR="0">
            <wp:extent cx="2624455" cy="724535"/>
            <wp:effectExtent l="0" t="0" r="4445"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24455" cy="724535"/>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w:t>
      </w:r>
      <w:r>
        <w:t xml:space="preserve"> 5 - Функция измерения с тремя входными величинами </w:t>
      </w:r>
      <w:r w:rsidR="00EB1B82">
        <w:rPr>
          <w:noProof/>
          <w:position w:val="-9"/>
        </w:rPr>
        <w:drawing>
          <wp:inline distT="0" distB="0" distL="0" distR="0">
            <wp:extent cx="213995" cy="213995"/>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EB1B82">
        <w:rPr>
          <w:noProof/>
          <w:position w:val="-9"/>
        </w:rPr>
        <w:drawing>
          <wp:inline distT="0" distB="0" distL="0" distR="0">
            <wp:extent cx="225425" cy="213995"/>
            <wp:effectExtent l="0" t="0" r="317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и </w:t>
      </w:r>
      <w:r w:rsidR="00EB1B82">
        <w:rPr>
          <w:noProof/>
          <w:position w:val="-10"/>
        </w:rPr>
        <w:drawing>
          <wp:inline distT="0" distB="0" distL="0" distR="0">
            <wp:extent cx="225425" cy="225425"/>
            <wp:effectExtent l="0" t="0" r="3175" b="317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и двумя выходными величинами </w:t>
      </w:r>
      <w:r w:rsidR="00EB1B82">
        <w:rPr>
          <w:noProof/>
          <w:position w:val="-9"/>
        </w:rPr>
        <w:drawing>
          <wp:inline distT="0" distB="0" distL="0" distR="0">
            <wp:extent cx="154305" cy="21399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и </w:t>
      </w:r>
      <w:r w:rsidR="00EB1B82">
        <w:rPr>
          <w:noProof/>
          <w:position w:val="-9"/>
        </w:rPr>
        <w:drawing>
          <wp:inline distT="0" distB="0" distL="0" distR="0">
            <wp:extent cx="178435" cy="21399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p w:rsidR="00000000" w:rsidRDefault="008F68A9">
      <w:pPr>
        <w:pStyle w:val="FORMATTEXT"/>
        <w:ind w:firstLine="568"/>
        <w:jc w:val="both"/>
      </w:pPr>
      <w:r>
        <w:t xml:space="preserve">6.8 В [6] рассматриваются также </w:t>
      </w:r>
      <w:r>
        <w:rPr>
          <w:i/>
          <w:iCs/>
        </w:rPr>
        <w:t>модели многоступенчатого измерения</w:t>
      </w:r>
      <w:r>
        <w:t>, в которых выходные величины предшествующих ступеней становятся входными величинами для последующих ступеней. Типичным примером модели многоступенчатого измерения может служить по</w:t>
      </w:r>
      <w:r>
        <w:t>строение и применение градуировочной характеристики (JCGM 200, словарная статья 2.39) (см. рисунок 6):</w:t>
      </w:r>
    </w:p>
    <w:p w:rsidR="00000000" w:rsidRDefault="008F68A9">
      <w:pPr>
        <w:pStyle w:val="FORMATTEXT"/>
        <w:ind w:firstLine="568"/>
        <w:jc w:val="both"/>
      </w:pPr>
    </w:p>
    <w:p w:rsidR="00000000" w:rsidRDefault="008F68A9">
      <w:pPr>
        <w:pStyle w:val="FORMATTEXT"/>
        <w:ind w:firstLine="568"/>
        <w:jc w:val="both"/>
      </w:pPr>
      <w:r>
        <w:t>a) параметры градуировочной характеристики оценивают, сравнивая размеры единицы измерения, переданные от эталонов, с соответствующими показаниями измери</w:t>
      </w:r>
      <w:r>
        <w:t xml:space="preserve">тельной системы. </w:t>
      </w:r>
      <w:r>
        <w:lastRenderedPageBreak/>
        <w:t>Стандартные неопределенности, ассоциированные с полученными значениями измеряемой величины и значениями показаний, являются источниками стандартных неопределенностей для значений оценок параметров градуировочной характеристики и, в общем с</w:t>
      </w:r>
      <w:r>
        <w:t>лучае, ковариаций для оценок этих параметров;</w:t>
      </w:r>
    </w:p>
    <w:p w:rsidR="00000000" w:rsidRDefault="008F68A9">
      <w:pPr>
        <w:pStyle w:val="FORMATTEXT"/>
        <w:ind w:firstLine="568"/>
        <w:jc w:val="both"/>
      </w:pPr>
    </w:p>
    <w:p w:rsidR="00000000" w:rsidRDefault="008F68A9">
      <w:pPr>
        <w:pStyle w:val="FORMATTEXT"/>
        <w:ind w:firstLine="568"/>
        <w:jc w:val="both"/>
      </w:pPr>
      <w:r>
        <w:t>b) полученное измерительной системой показание по градуировочной характеристике преобразуют в значение измеряемой величины. Для этого используется функция, обратная градуировочной характеристике. Стандартные н</w:t>
      </w:r>
      <w:r>
        <w:t>еопределенности и ковариации, ассоциированные со значениями оценок параметров градуировочной характеристики, вместе со стандартной неопределенностью, ассоциированной со значением очередного показания, являются источниками для расчета стандартной неопределе</w:t>
      </w:r>
      <w:r>
        <w:t>нности, ассоциированной с полученным значением измеряемой величины.</w:t>
      </w:r>
    </w:p>
    <w:p w:rsidR="00000000" w:rsidRDefault="008F68A9">
      <w:pPr>
        <w:pStyle w:val="FORMATTEXT"/>
        <w:ind w:firstLine="568"/>
        <w:jc w:val="both"/>
      </w:pPr>
    </w:p>
    <w:p w:rsidR="00000000" w:rsidRDefault="00EB1B82">
      <w:pPr>
        <w:pStyle w:val="TOPLEVELTEXT"/>
        <w:jc w:val="center"/>
      </w:pPr>
      <w:r>
        <w:rPr>
          <w:noProof/>
          <w:position w:val="-127"/>
        </w:rPr>
        <w:drawing>
          <wp:inline distT="0" distB="0" distL="0" distR="0">
            <wp:extent cx="4061460" cy="324167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61460" cy="3241675"/>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 6 - Модель двухступенчатого измерения, включающего построение градуировочной характеристики и ее применение к показаниям измерительной системы</w:t>
      </w:r>
    </w:p>
    <w:p w:rsidR="00000000" w:rsidRDefault="008F68A9">
      <w:pPr>
        <w:pStyle w:val="FORMATTEXT"/>
        <w:jc w:val="center"/>
      </w:pPr>
    </w:p>
    <w:p w:rsidR="00000000" w:rsidRDefault="008F68A9">
      <w:pPr>
        <w:pStyle w:val="FORMATTEXT"/>
        <w:jc w:val="center"/>
      </w:pPr>
      <w:r>
        <w:t xml:space="preserve">  </w:t>
      </w: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7 Трансформирование распределений и вычисление значен</w:t>
      </w:r>
      <w:r>
        <w:rPr>
          <w:b/>
          <w:bCs/>
          <w:color w:val="000001"/>
        </w:rPr>
        <w:t xml:space="preserve">ий оценок </w:t>
      </w:r>
    </w:p>
    <w:p w:rsidR="00000000" w:rsidRDefault="008F68A9">
      <w:pPr>
        <w:pStyle w:val="FORMATTEXT"/>
        <w:ind w:firstLine="568"/>
        <w:jc w:val="both"/>
      </w:pPr>
      <w:r>
        <w:rPr>
          <w:b/>
          <w:bCs/>
        </w:rPr>
        <w:t>7.1 Общие положения</w:t>
      </w:r>
    </w:p>
    <w:p w:rsidR="00000000" w:rsidRDefault="008F68A9">
      <w:pPr>
        <w:pStyle w:val="FORMATTEXT"/>
        <w:ind w:firstLine="568"/>
        <w:jc w:val="both"/>
      </w:pPr>
    </w:p>
    <w:p w:rsidR="00000000" w:rsidRDefault="008F68A9">
      <w:pPr>
        <w:pStyle w:val="FORMATTEXT"/>
        <w:ind w:firstLine="568"/>
        <w:jc w:val="both"/>
      </w:pPr>
      <w:r>
        <w:t xml:space="preserve">7.1.1 Этап вычислений включает в себя процедуру, известную как </w:t>
      </w:r>
      <w:r>
        <w:rPr>
          <w:i/>
          <w:iCs/>
        </w:rPr>
        <w:t>трансформирование распределений</w:t>
      </w:r>
      <w:r>
        <w:t xml:space="preserve"> [см. JCGM 101, (5.2)], которая может быть реализована следующими способами:</w:t>
      </w:r>
    </w:p>
    <w:p w:rsidR="00000000" w:rsidRDefault="008F68A9">
      <w:pPr>
        <w:pStyle w:val="FORMATTEXT"/>
        <w:ind w:firstLine="568"/>
        <w:jc w:val="both"/>
      </w:pPr>
    </w:p>
    <w:p w:rsidR="00000000" w:rsidRDefault="008F68A9">
      <w:pPr>
        <w:pStyle w:val="FORMATTEXT"/>
        <w:ind w:firstLine="568"/>
        <w:jc w:val="both"/>
      </w:pPr>
      <w:r>
        <w:t>a) в виде используемого в GUM закона трансформирован</w:t>
      </w:r>
      <w:r>
        <w:t xml:space="preserve">ия неопределенностей с описанием случайной величины, ассоциированной с выходной величиной </w:t>
      </w:r>
      <w:r w:rsidR="00EB1B82">
        <w:rPr>
          <w:noProof/>
          <w:position w:val="-7"/>
        </w:rPr>
        <w:drawing>
          <wp:inline distT="0" distB="0" distL="0" distR="0">
            <wp:extent cx="142240" cy="166370"/>
            <wp:effectExtent l="0" t="0" r="0" b="508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распределением Гаусса или </w:t>
      </w:r>
      <w:r w:rsidR="00EB1B82">
        <w:rPr>
          <w:noProof/>
          <w:position w:val="-7"/>
        </w:rPr>
        <w:drawing>
          <wp:inline distT="0" distB="0" distL="0" distR="0">
            <wp:extent cx="83185" cy="15430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 (см. 7.2);</w:t>
      </w:r>
    </w:p>
    <w:p w:rsidR="00000000" w:rsidRDefault="008F68A9">
      <w:pPr>
        <w:pStyle w:val="FORMATTEXT"/>
        <w:ind w:firstLine="568"/>
        <w:jc w:val="both"/>
      </w:pPr>
    </w:p>
    <w:p w:rsidR="00000000" w:rsidRDefault="008F68A9">
      <w:pPr>
        <w:pStyle w:val="FORMATTEXT"/>
        <w:ind w:firstLine="568"/>
        <w:jc w:val="both"/>
      </w:pPr>
      <w:r>
        <w:t>b) в виде аналитического вывода формы р</w:t>
      </w:r>
      <w:r>
        <w:t xml:space="preserve">аспределения вероятностей для </w:t>
      </w:r>
      <w:r w:rsidR="00EB1B82">
        <w:rPr>
          <w:noProof/>
          <w:position w:val="-7"/>
        </w:rPr>
        <w:drawing>
          <wp:inline distT="0" distB="0" distL="0" distR="0">
            <wp:extent cx="142240" cy="166370"/>
            <wp:effectExtent l="0" t="0" r="0" b="508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методами математического анализа (см. 7.3);</w:t>
      </w:r>
    </w:p>
    <w:p w:rsidR="00000000" w:rsidRDefault="008F68A9">
      <w:pPr>
        <w:pStyle w:val="FORMATTEXT"/>
        <w:ind w:firstLine="568"/>
        <w:jc w:val="both"/>
      </w:pPr>
    </w:p>
    <w:p w:rsidR="00000000" w:rsidRDefault="008F68A9">
      <w:pPr>
        <w:pStyle w:val="FORMATTEXT"/>
        <w:ind w:firstLine="568"/>
        <w:jc w:val="both"/>
      </w:pPr>
      <w:r>
        <w:t xml:space="preserve">c) с помощью метода Монте-Карло, в котором приближенную функцию распределения для </w:t>
      </w:r>
      <w:r w:rsidR="00EB1B82">
        <w:rPr>
          <w:noProof/>
          <w:position w:val="-7"/>
        </w:rPr>
        <w:drawing>
          <wp:inline distT="0" distB="0" distL="0" distR="0">
            <wp:extent cx="142240" cy="166370"/>
            <wp:effectExtent l="0" t="0" r="0" b="508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получают численным моделирова</w:t>
      </w:r>
      <w:r>
        <w:t>нием, генерируя случайные значения из распределений вероятностей для входных величин и преобразуя их в значения измеряемой величины посредством модели измерений (см. 7.4).</w:t>
      </w:r>
    </w:p>
    <w:p w:rsidR="00000000" w:rsidRDefault="008F68A9">
      <w:pPr>
        <w:pStyle w:val="FORMATTEXT"/>
        <w:ind w:firstLine="568"/>
        <w:jc w:val="both"/>
      </w:pPr>
    </w:p>
    <w:p w:rsidR="00000000" w:rsidRDefault="008F68A9">
      <w:pPr>
        <w:pStyle w:val="FORMATTEXT"/>
        <w:ind w:firstLine="568"/>
        <w:jc w:val="both"/>
      </w:pPr>
      <w:r>
        <w:t>7.1.2 Для конкретной задачи оценивания неопределенности измерений может быть исполь</w:t>
      </w:r>
      <w:r>
        <w:t>зован любой из способов, перечисленных в 7.1.1 (или какой-нибудь иной метод), причем способ а) является в большинстве случаев приближенным, способ b) - точным, а способ с) дает решение с числовой точностью, которую можно контролировать.</w:t>
      </w:r>
    </w:p>
    <w:p w:rsidR="00000000" w:rsidRDefault="008F68A9">
      <w:pPr>
        <w:pStyle w:val="FORMATTEXT"/>
        <w:ind w:firstLine="568"/>
        <w:jc w:val="both"/>
      </w:pPr>
    </w:p>
    <w:p w:rsidR="00000000" w:rsidRDefault="008F68A9">
      <w:pPr>
        <w:pStyle w:val="FORMATTEXT"/>
        <w:ind w:firstLine="568"/>
        <w:jc w:val="both"/>
      </w:pPr>
      <w:r>
        <w:t>7.1.3 Применение с</w:t>
      </w:r>
      <w:r>
        <w:t>пособов а) и с) к функциям измерения для общеупотребительных моделей измерения с любым числом входных величин рассматривается в 7.5.</w:t>
      </w:r>
    </w:p>
    <w:p w:rsidR="00000000" w:rsidRDefault="008F68A9">
      <w:pPr>
        <w:pStyle w:val="FORMATTEXT"/>
        <w:ind w:firstLine="568"/>
        <w:jc w:val="both"/>
      </w:pPr>
    </w:p>
    <w:p w:rsidR="00000000" w:rsidRDefault="008F68A9">
      <w:pPr>
        <w:pStyle w:val="FORMATTEXT"/>
        <w:ind w:firstLine="568"/>
        <w:jc w:val="both"/>
      </w:pPr>
      <w:r>
        <w:rPr>
          <w:b/>
          <w:bCs/>
        </w:rPr>
        <w:t>7.2 Способ расчета неопределенности по GUM</w:t>
      </w:r>
    </w:p>
    <w:p w:rsidR="00000000" w:rsidRDefault="008F68A9">
      <w:pPr>
        <w:pStyle w:val="FORMATTEXT"/>
        <w:ind w:firstLine="568"/>
        <w:jc w:val="both"/>
      </w:pPr>
    </w:p>
    <w:p w:rsidR="00000000" w:rsidRDefault="008F68A9">
      <w:pPr>
        <w:pStyle w:val="FORMATTEXT"/>
        <w:ind w:firstLine="568"/>
        <w:jc w:val="both"/>
      </w:pPr>
      <w:r>
        <w:t>7.2.1 Способ оценивания неопределенности по GUM [см. JCGM 100 (3.4.8) и (5.1)]</w:t>
      </w:r>
      <w:r>
        <w:t xml:space="preserve"> (схематично показанный на рисунке 7) для получения значения оценки </w:t>
      </w:r>
      <w:r w:rsidR="00EB1B82">
        <w:rPr>
          <w:noProof/>
          <w:position w:val="-7"/>
        </w:rPr>
        <w:drawing>
          <wp:inline distT="0" distB="0" distL="0" distR="0">
            <wp:extent cx="142240" cy="166370"/>
            <wp:effectExtent l="0" t="0" r="0" b="508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выходной величины </w:t>
      </w:r>
      <w:r w:rsidR="00EB1B82">
        <w:rPr>
          <w:noProof/>
          <w:position w:val="-7"/>
        </w:rPr>
        <w:drawing>
          <wp:inline distT="0" distB="0" distL="0" distR="0">
            <wp:extent cx="142240" cy="166370"/>
            <wp:effectExtent l="0" t="0" r="0" b="508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ассоциированной с ней стандартной неопределенности </w:t>
      </w:r>
      <w:r w:rsidR="00EB1B82">
        <w:rPr>
          <w:noProof/>
          <w:position w:val="-8"/>
        </w:rPr>
        <w:drawing>
          <wp:inline distT="0" distB="0" distL="0" distR="0">
            <wp:extent cx="308610" cy="201930"/>
            <wp:effectExtent l="0" t="0" r="0" b="762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использует:</w:t>
      </w:r>
    </w:p>
    <w:p w:rsidR="00000000" w:rsidRDefault="008F68A9">
      <w:pPr>
        <w:pStyle w:val="FORMATTEXT"/>
        <w:ind w:firstLine="568"/>
        <w:jc w:val="both"/>
      </w:pPr>
    </w:p>
    <w:p w:rsidR="00000000" w:rsidRDefault="008F68A9">
      <w:pPr>
        <w:pStyle w:val="FORMATTEXT"/>
        <w:ind w:firstLine="568"/>
        <w:jc w:val="both"/>
      </w:pPr>
      <w:r>
        <w:t xml:space="preserve">a) наилучшие значения оценок </w:t>
      </w:r>
      <w:r w:rsidR="00EB1B82">
        <w:rPr>
          <w:noProof/>
          <w:position w:val="-10"/>
        </w:rPr>
        <w:drawing>
          <wp:inline distT="0" distB="0" distL="0" distR="0">
            <wp:extent cx="166370" cy="225425"/>
            <wp:effectExtent l="0" t="0" r="5080" b="3175"/>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входных величин </w:t>
      </w:r>
      <w:r w:rsidR="00EB1B82">
        <w:rPr>
          <w:noProof/>
          <w:position w:val="-10"/>
        </w:rPr>
        <w:drawing>
          <wp:inline distT="0" distB="0" distL="0" distR="0">
            <wp:extent cx="201930" cy="225425"/>
            <wp:effectExtent l="0" t="0" r="7620" b="317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8F68A9">
      <w:pPr>
        <w:pStyle w:val="FORMATTEXT"/>
        <w:ind w:firstLine="568"/>
        <w:jc w:val="both"/>
      </w:pPr>
      <w:r>
        <w:t xml:space="preserve">b) стандартные неопределенности </w:t>
      </w:r>
      <w:r w:rsidR="00EB1B82">
        <w:rPr>
          <w:noProof/>
          <w:position w:val="-10"/>
        </w:rPr>
        <w:drawing>
          <wp:inline distT="0" distB="0" distL="0" distR="0">
            <wp:extent cx="368300" cy="225425"/>
            <wp:effectExtent l="0" t="0" r="0" b="317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ассоциированные с </w:t>
      </w:r>
      <w:r w:rsidR="00EB1B82">
        <w:rPr>
          <w:noProof/>
          <w:position w:val="-10"/>
        </w:rPr>
        <w:drawing>
          <wp:inline distT="0" distB="0" distL="0" distR="0">
            <wp:extent cx="166370" cy="225425"/>
            <wp:effectExtent l="0" t="0" r="5080" b="3175"/>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w:t>
      </w:r>
    </w:p>
    <w:p w:rsidR="00000000" w:rsidRDefault="008F68A9">
      <w:pPr>
        <w:pStyle w:val="FORMATTEXT"/>
        <w:ind w:firstLine="568"/>
        <w:jc w:val="both"/>
      </w:pPr>
    </w:p>
    <w:p w:rsidR="00000000" w:rsidRDefault="008F68A9">
      <w:pPr>
        <w:pStyle w:val="FORMATTEXT"/>
        <w:ind w:firstLine="568"/>
        <w:jc w:val="both"/>
      </w:pPr>
      <w:r>
        <w:t xml:space="preserve">c) коэффициенты чувствительности </w:t>
      </w:r>
      <w:r w:rsidR="00EB1B82">
        <w:rPr>
          <w:noProof/>
          <w:position w:val="-10"/>
        </w:rPr>
        <w:drawing>
          <wp:inline distT="0" distB="0" distL="0" distR="0">
            <wp:extent cx="154305" cy="225425"/>
            <wp:effectExtent l="0" t="0" r="0" b="317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(см. 4.14).</w:t>
      </w:r>
    </w:p>
    <w:p w:rsidR="00000000" w:rsidRDefault="008F68A9">
      <w:pPr>
        <w:pStyle w:val="FORMATTEXT"/>
        <w:ind w:firstLine="568"/>
        <w:jc w:val="both"/>
      </w:pPr>
    </w:p>
    <w:p w:rsidR="00000000" w:rsidRDefault="00EB1B82">
      <w:pPr>
        <w:pStyle w:val="TOPLEVELTEXT"/>
        <w:jc w:val="center"/>
      </w:pPr>
      <w:r>
        <w:rPr>
          <w:noProof/>
          <w:position w:val="-193"/>
        </w:rPr>
        <w:drawing>
          <wp:inline distT="0" distB="0" distL="0" distR="0">
            <wp:extent cx="7623810" cy="4904740"/>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623810" cy="4904740"/>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 7 - Способ расчета неопределен</w:t>
      </w:r>
      <w:r>
        <w:t xml:space="preserve">ности по GUM (левая часть рисунка, выделенная пунктирной линией, относится к получению значения оценки </w:t>
      </w:r>
      <w:r w:rsidR="00EB1B82">
        <w:rPr>
          <w:noProof/>
          <w:position w:val="-7"/>
        </w:rPr>
        <w:drawing>
          <wp:inline distT="0" distB="0" distL="0" distR="0">
            <wp:extent cx="142240" cy="166370"/>
            <wp:effectExtent l="0" t="0" r="0" b="508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ассоциированной с ней стандартной неопределенности </w:t>
      </w:r>
      <w:r w:rsidR="00EB1B82">
        <w:rPr>
          <w:noProof/>
          <w:position w:val="-8"/>
        </w:rPr>
        <w:drawing>
          <wp:inline distT="0" distB="0" distL="0" distR="0">
            <wp:extent cx="308610" cy="201930"/>
            <wp:effectExtent l="0" t="0" r="0" b="762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остальная - к получению инт</w:t>
      </w:r>
      <w:r>
        <w:t xml:space="preserve">ервала охвата для </w:t>
      </w:r>
      <w:r w:rsidR="00EB1B82">
        <w:rPr>
          <w:noProof/>
          <w:position w:val="-7"/>
        </w:rPr>
        <w:drawing>
          <wp:inline distT="0" distB="0" distL="0" distR="0">
            <wp:extent cx="142240" cy="166370"/>
            <wp:effectExtent l="0" t="0" r="0" b="508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p>
    <w:p w:rsidR="00000000" w:rsidRDefault="008F68A9">
      <w:pPr>
        <w:pStyle w:val="FORMATTEXT"/>
        <w:ind w:firstLine="568"/>
        <w:jc w:val="both"/>
      </w:pPr>
      <w:r>
        <w:t xml:space="preserve">7.2.2 Способ, указанный в 7.2.1, несколько видоизменяется [см. JCGM 100 (5.2)], если входные величины являются взаимозависимыми (на рисунке 7 такая модификация не показана). Ассоциирование с выходной </w:t>
      </w:r>
      <w:r>
        <w:t xml:space="preserve">величиной </w:t>
      </w:r>
      <w:r w:rsidR="00EB1B82">
        <w:rPr>
          <w:noProof/>
          <w:position w:val="-7"/>
        </w:rPr>
        <w:drawing>
          <wp:inline distT="0" distB="0" distL="0" distR="0">
            <wp:extent cx="142240" cy="166370"/>
            <wp:effectExtent l="0" t="0" r="0" b="508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распределения Гаусса позволяет построить интервал охвата для </w:t>
      </w:r>
      <w:r w:rsidR="00EB1B82">
        <w:rPr>
          <w:noProof/>
          <w:position w:val="-7"/>
        </w:rPr>
        <w:drawing>
          <wp:inline distT="0" distB="0" distL="0" distR="0">
            <wp:extent cx="142240" cy="166370"/>
            <wp:effectExtent l="0" t="0" r="0" b="508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 заданной вероятностью охвата [см. JCGM 100 (раздел G.2)]. Если каждому </w:t>
      </w:r>
      <w:r w:rsidR="00EB1B82">
        <w:rPr>
          <w:noProof/>
          <w:position w:val="-10"/>
        </w:rPr>
        <w:drawing>
          <wp:inline distT="0" distB="0" distL="0" distR="0">
            <wp:extent cx="368300" cy="225425"/>
            <wp:effectExtent l="0" t="0" r="0" b="317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соответ</w:t>
      </w:r>
      <w:r>
        <w:t xml:space="preserve">ствует конечное число степеней свободы [ИСО 3534-1, словарная статья 2.54], то по ним можно рассчитать число эффективных степеней свободы для </w:t>
      </w:r>
      <w:r w:rsidR="00EB1B82">
        <w:rPr>
          <w:noProof/>
          <w:position w:val="-8"/>
        </w:rPr>
        <w:drawing>
          <wp:inline distT="0" distB="0" distL="0" distR="0">
            <wp:extent cx="308610" cy="201930"/>
            <wp:effectExtent l="0" t="0" r="0" b="762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а выходную величину </w:t>
      </w:r>
      <w:r w:rsidR="00EB1B82">
        <w:rPr>
          <w:noProof/>
          <w:position w:val="-7"/>
        </w:rPr>
        <w:drawing>
          <wp:inline distT="0" distB="0" distL="0" distR="0">
            <wp:extent cx="142240" cy="166370"/>
            <wp:effectExtent l="0" t="0" r="0" b="508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ассоциировать </w:t>
      </w:r>
      <w:r>
        <w:lastRenderedPageBreak/>
        <w:t xml:space="preserve">с </w:t>
      </w:r>
      <w:r w:rsidR="00EB1B82">
        <w:rPr>
          <w:noProof/>
          <w:position w:val="-7"/>
        </w:rPr>
        <w:drawing>
          <wp:inline distT="0" distB="0" distL="0" distR="0">
            <wp:extent cx="83185" cy="15430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w:t>
      </w:r>
    </w:p>
    <w:p w:rsidR="00000000" w:rsidRDefault="008F68A9">
      <w:pPr>
        <w:pStyle w:val="FORMATTEXT"/>
        <w:ind w:firstLine="568"/>
        <w:jc w:val="both"/>
      </w:pPr>
    </w:p>
    <w:p w:rsidR="00000000" w:rsidRDefault="008F68A9">
      <w:pPr>
        <w:pStyle w:val="FORMATTEXT"/>
        <w:ind w:firstLine="568"/>
        <w:jc w:val="both"/>
      </w:pPr>
      <w:r>
        <w:t>7.2.3 Для многих измерительных ситуаций способ расчета неопределенности по GUM [см. JCGM 100 (раздел 5)] позволяет получить достоверные результаты. Есл</w:t>
      </w:r>
      <w:r>
        <w:t>и функция измерения линейна относительно входных величин и эти величины распределены по нормальному закону, то способ оценивания неопределенности по GUM дает точные результаты [см. JCGM 101 (5.7)]. Но даже если указанные условия не соблюдаются, данный спос</w:t>
      </w:r>
      <w:r>
        <w:t>об может достаточно хорошо работать на практике [см. JCGM 101(5.8)].</w:t>
      </w:r>
    </w:p>
    <w:p w:rsidR="00000000" w:rsidRDefault="008F68A9">
      <w:pPr>
        <w:pStyle w:val="FORMATTEXT"/>
        <w:ind w:firstLine="568"/>
        <w:jc w:val="both"/>
      </w:pPr>
    </w:p>
    <w:p w:rsidR="00000000" w:rsidRDefault="008F68A9">
      <w:pPr>
        <w:pStyle w:val="FORMATTEXT"/>
        <w:ind w:firstLine="568"/>
        <w:jc w:val="both"/>
      </w:pPr>
      <w:r>
        <w:t>7.2.4 Однако существуют измерительные ситуации, при которых способ оценивания неопределенности по GUM нельзя считать удовлетворительным. Так будет, в том числе, если:</w:t>
      </w:r>
    </w:p>
    <w:p w:rsidR="00000000" w:rsidRDefault="008F68A9">
      <w:pPr>
        <w:pStyle w:val="FORMATTEXT"/>
        <w:ind w:firstLine="568"/>
        <w:jc w:val="both"/>
      </w:pPr>
    </w:p>
    <w:p w:rsidR="00000000" w:rsidRDefault="008F68A9">
      <w:pPr>
        <w:pStyle w:val="FORMATTEXT"/>
        <w:ind w:firstLine="568"/>
        <w:jc w:val="both"/>
      </w:pPr>
      <w:r>
        <w:t>a) функция измерен</w:t>
      </w:r>
      <w:r>
        <w:t>ия нелинейна;</w:t>
      </w:r>
    </w:p>
    <w:p w:rsidR="00000000" w:rsidRDefault="008F68A9">
      <w:pPr>
        <w:pStyle w:val="FORMATTEXT"/>
        <w:ind w:firstLine="568"/>
        <w:jc w:val="both"/>
      </w:pPr>
    </w:p>
    <w:p w:rsidR="00000000" w:rsidRDefault="008F68A9">
      <w:pPr>
        <w:pStyle w:val="FORMATTEXT"/>
        <w:ind w:firstLine="568"/>
        <w:jc w:val="both"/>
      </w:pPr>
      <w:r>
        <w:t>b) распределения вероятностей для входных величин асимметричны;</w:t>
      </w:r>
    </w:p>
    <w:p w:rsidR="00000000" w:rsidRDefault="008F68A9">
      <w:pPr>
        <w:pStyle w:val="FORMATTEXT"/>
        <w:ind w:firstLine="568"/>
        <w:jc w:val="both"/>
      </w:pPr>
    </w:p>
    <w:p w:rsidR="00000000" w:rsidRDefault="008F68A9">
      <w:pPr>
        <w:pStyle w:val="FORMATTEXT"/>
        <w:ind w:firstLine="568"/>
        <w:jc w:val="both"/>
      </w:pPr>
      <w:r>
        <w:t>c) </w:t>
      </w:r>
      <w:r w:rsidR="00EB1B82">
        <w:rPr>
          <w:noProof/>
          <w:position w:val="-9"/>
        </w:rPr>
        <w:drawing>
          <wp:inline distT="0" distB="0" distL="0" distR="0">
            <wp:extent cx="653415" cy="213995"/>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53415" cy="213995"/>
                    </a:xfrm>
                    <a:prstGeom prst="rect">
                      <a:avLst/>
                    </a:prstGeom>
                    <a:noFill/>
                    <a:ln>
                      <a:noFill/>
                    </a:ln>
                  </pic:spPr>
                </pic:pic>
              </a:graphicData>
            </a:graphic>
          </wp:inline>
        </w:drawing>
      </w:r>
      <w:r>
        <w:t xml:space="preserve">, ..., </w:t>
      </w:r>
      <w:r w:rsidR="00EB1B82">
        <w:rPr>
          <w:noProof/>
          <w:position w:val="-10"/>
        </w:rPr>
        <w:drawing>
          <wp:inline distT="0" distB="0" distL="0" distR="0">
            <wp:extent cx="760095" cy="225425"/>
            <wp:effectExtent l="0" t="0" r="1905" b="317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60095" cy="225425"/>
                    </a:xfrm>
                    <a:prstGeom prst="rect">
                      <a:avLst/>
                    </a:prstGeom>
                    <a:noFill/>
                    <a:ln>
                      <a:noFill/>
                    </a:ln>
                  </pic:spPr>
                </pic:pic>
              </a:graphicData>
            </a:graphic>
          </wp:inline>
        </w:drawing>
      </w:r>
      <w:r>
        <w:t>, дающие вклад в неопределенность (см. 4.14), не являются величинами приблизительно одного поря</w:t>
      </w:r>
      <w:r>
        <w:t>дка [см. JCGM 100 (G.2.2)];</w:t>
      </w:r>
    </w:p>
    <w:p w:rsidR="00000000" w:rsidRDefault="008F68A9">
      <w:pPr>
        <w:pStyle w:val="FORMATTEXT"/>
        <w:ind w:firstLine="568"/>
        <w:jc w:val="both"/>
      </w:pPr>
    </w:p>
    <w:p w:rsidR="00000000" w:rsidRDefault="008F68A9">
      <w:pPr>
        <w:pStyle w:val="FORMATTEXT"/>
        <w:ind w:firstLine="568"/>
        <w:jc w:val="both"/>
      </w:pPr>
      <w:r>
        <w:t xml:space="preserve">d) распределение вероятностей для выходной величины либо асимметрично, либо существенно отличается от нормального распределения или </w:t>
      </w:r>
      <w:r w:rsidR="00EB1B82">
        <w:rPr>
          <w:noProof/>
          <w:position w:val="-7"/>
        </w:rPr>
        <w:drawing>
          <wp:inline distT="0" distB="0" distL="0" distR="0">
            <wp:extent cx="83185" cy="154305"/>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w:t>
      </w:r>
    </w:p>
    <w:p w:rsidR="00000000" w:rsidRDefault="008F68A9">
      <w:pPr>
        <w:pStyle w:val="FORMATTEXT"/>
        <w:ind w:firstLine="568"/>
        <w:jc w:val="both"/>
      </w:pPr>
    </w:p>
    <w:p w:rsidR="00000000" w:rsidRDefault="008F68A9">
      <w:pPr>
        <w:pStyle w:val="FORMATTEXT"/>
        <w:ind w:firstLine="568"/>
        <w:jc w:val="both"/>
      </w:pPr>
      <w:r>
        <w:t>Иногда заранее трудно решить, позволяет ли</w:t>
      </w:r>
      <w:r>
        <w:t xml:space="preserve"> данная измерительная задача применять способ оценивания неопределенности по GUM.</w:t>
      </w:r>
    </w:p>
    <w:p w:rsidR="00000000" w:rsidRDefault="008F68A9">
      <w:pPr>
        <w:pStyle w:val="FORMATTEXT"/>
        <w:ind w:firstLine="568"/>
        <w:jc w:val="both"/>
      </w:pPr>
    </w:p>
    <w:p w:rsidR="00000000" w:rsidRDefault="008F68A9">
      <w:pPr>
        <w:pStyle w:val="FORMATTEXT"/>
        <w:ind w:firstLine="568"/>
        <w:jc w:val="both"/>
      </w:pPr>
      <w:r>
        <w:t>7.2.5 Использование способа оценивания неопределенности по GUM усложняется при нахождении частных производных (или их численных приближений) для сложной модели измерений, чт</w:t>
      </w:r>
      <w:r>
        <w:t>о является необходимым для применения закона трансформирования неопределенностей, особенно, если необходимо рассчитывать производные высших порядков [см. JCGM 100 (раздел 5)]. В таких случаях более подходящим и удобным для применения является метод Монте-К</w:t>
      </w:r>
      <w:r>
        <w:t>арло (см. 7.4).</w:t>
      </w:r>
    </w:p>
    <w:p w:rsidR="00000000" w:rsidRDefault="008F68A9">
      <w:pPr>
        <w:pStyle w:val="FORMATTEXT"/>
        <w:ind w:firstLine="568"/>
        <w:jc w:val="both"/>
      </w:pPr>
    </w:p>
    <w:p w:rsidR="00000000" w:rsidRDefault="008F68A9">
      <w:pPr>
        <w:pStyle w:val="FORMATTEXT"/>
        <w:ind w:firstLine="568"/>
        <w:jc w:val="both"/>
      </w:pPr>
      <w:r>
        <w:rPr>
          <w:b/>
          <w:bCs/>
        </w:rPr>
        <w:t>7.3 Аналитический вывод</w:t>
      </w:r>
    </w:p>
    <w:p w:rsidR="00000000" w:rsidRDefault="008F68A9">
      <w:pPr>
        <w:pStyle w:val="FORMATTEXT"/>
        <w:ind w:firstLine="568"/>
        <w:jc w:val="both"/>
      </w:pPr>
    </w:p>
    <w:p w:rsidR="00000000" w:rsidRDefault="008F68A9">
      <w:pPr>
        <w:pStyle w:val="FORMATTEXT"/>
        <w:ind w:firstLine="568"/>
        <w:jc w:val="both"/>
      </w:pPr>
      <w:r>
        <w:t>7.3.1 Аналитические методы, с помощью которых может быть получена алгебраическая формула для распределения вероятностей выходной величины, не содержат никаких приближений, но могут быть применены только в сравнител</w:t>
      </w:r>
      <w:r>
        <w:t xml:space="preserve">ьно простых случаях. В [8], [12] показаны возможности применения таких методов. В число измерительных задач, для которых возможен аналитический вывод, входят те, где выходная величина является линейной функцией </w:t>
      </w:r>
      <w:r w:rsidR="00EB1B82">
        <w:rPr>
          <w:noProof/>
          <w:position w:val="-8"/>
        </w:rPr>
        <w:drawing>
          <wp:inline distT="0" distB="0" distL="0" distR="0">
            <wp:extent cx="178435" cy="178435"/>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входных в</w:t>
      </w:r>
      <w:r>
        <w:t>еличин [см. формулу (3)], которые все распределены либо по нормальному закону, либо по прямоугольному закону в одних и тех же границах. Пример для двух входных величин (</w:t>
      </w:r>
      <w:r w:rsidR="00EB1B82">
        <w:rPr>
          <w:noProof/>
          <w:position w:val="-8"/>
        </w:rPr>
        <w:drawing>
          <wp:inline distT="0" distB="0" distL="0" distR="0">
            <wp:extent cx="297180" cy="178435"/>
            <wp:effectExtent l="0" t="0" r="762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2) с прямоугольными распределениями вероятности, ко</w:t>
      </w:r>
      <w:r>
        <w:t>торые дают трапецеидальное распределение выходной величины (см. [10]), показан на рисунке 3.</w:t>
      </w:r>
    </w:p>
    <w:p w:rsidR="00000000" w:rsidRDefault="008F68A9">
      <w:pPr>
        <w:pStyle w:val="FORMATTEXT"/>
        <w:ind w:firstLine="568"/>
        <w:jc w:val="both"/>
      </w:pPr>
    </w:p>
    <w:p w:rsidR="00000000" w:rsidRDefault="008F68A9">
      <w:pPr>
        <w:pStyle w:val="FORMATTEXT"/>
        <w:ind w:firstLine="568"/>
        <w:jc w:val="both"/>
      </w:pPr>
      <w:r>
        <w:t>7.3.2 Часто аналитический вывод возможен для случаев, когда модель измерения включает в себя только одну входную величину (</w:t>
      </w:r>
      <w:r w:rsidR="00EB1B82">
        <w:rPr>
          <w:noProof/>
          <w:position w:val="-8"/>
        </w:rPr>
        <w:drawing>
          <wp:inline distT="0" distB="0" distL="0" distR="0">
            <wp:extent cx="297180" cy="178435"/>
            <wp:effectExtent l="0" t="0" r="762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 xml:space="preserve">1) </w:t>
      </w:r>
      <w:r>
        <w:t>(см. [25, стр.57-61]). Такие случаи возникают при преобразовании единиц измерения, например, из линейных в логарифмические (см. [10, стр.95-98]).</w:t>
      </w:r>
    </w:p>
    <w:p w:rsidR="00000000" w:rsidRDefault="008F68A9">
      <w:pPr>
        <w:pStyle w:val="FORMATTEXT"/>
        <w:ind w:firstLine="568"/>
        <w:jc w:val="both"/>
      </w:pPr>
    </w:p>
    <w:p w:rsidR="00000000" w:rsidRDefault="008F68A9">
      <w:pPr>
        <w:pStyle w:val="FORMATTEXT"/>
        <w:ind w:firstLine="568"/>
        <w:jc w:val="both"/>
      </w:pPr>
      <w:r>
        <w:t>7.3.3 Преимуществом аналитического вывода является то, что он дает возможность понять суть измерения, показыв</w:t>
      </w:r>
      <w:r>
        <w:t>ая зависимость распределения вероятностей выходной величины от параметров распределений вероятностей входных величин.</w:t>
      </w:r>
    </w:p>
    <w:p w:rsidR="00000000" w:rsidRDefault="008F68A9">
      <w:pPr>
        <w:pStyle w:val="FORMATTEXT"/>
        <w:ind w:firstLine="568"/>
        <w:jc w:val="both"/>
      </w:pPr>
    </w:p>
    <w:p w:rsidR="00000000" w:rsidRDefault="008F68A9">
      <w:pPr>
        <w:pStyle w:val="FORMATTEXT"/>
        <w:ind w:firstLine="568"/>
        <w:jc w:val="both"/>
      </w:pPr>
      <w:r>
        <w:rPr>
          <w:b/>
          <w:bCs/>
        </w:rPr>
        <w:t>7.4 Метод Монте-Карло</w:t>
      </w:r>
    </w:p>
    <w:p w:rsidR="00000000" w:rsidRDefault="008F68A9">
      <w:pPr>
        <w:pStyle w:val="FORMATTEXT"/>
        <w:ind w:firstLine="568"/>
        <w:jc w:val="both"/>
      </w:pPr>
    </w:p>
    <w:p w:rsidR="00000000" w:rsidRDefault="008F68A9">
      <w:pPr>
        <w:pStyle w:val="FORMATTEXT"/>
        <w:ind w:firstLine="568"/>
        <w:jc w:val="both"/>
      </w:pPr>
      <w:r>
        <w:t>7.4.1 JCGM 101 устанавливает подробное руководство по методу Монте-Карло как способу трансформирования распределен</w:t>
      </w:r>
      <w:r>
        <w:t>ий [см. JCGM 101 (5.9)]. Для метода Монте-Карло существует меньше ограничений по применению, чем для способа оценивания неопределенности по GUM [см. JCGM 101 (5.10)]. Схематично метод показан на рисунке 8. В JCGM 101 приведены примеры сравнения метода Монт</w:t>
      </w:r>
      <w:r>
        <w:t xml:space="preserve">е-Карло со способом оценивания неопределенности по GUM [см. JCGM 101 (раздел 9)]. </w:t>
      </w:r>
    </w:p>
    <w:p w:rsidR="00000000" w:rsidRDefault="008F68A9">
      <w:pPr>
        <w:pStyle w:val="FORMATTEXT"/>
        <w:jc w:val="both"/>
      </w:pPr>
      <w:r>
        <w:t xml:space="preserve">            </w:t>
      </w:r>
    </w:p>
    <w:p w:rsidR="00000000" w:rsidRDefault="008F68A9">
      <w:pPr>
        <w:pStyle w:val="FORMATTEXT"/>
        <w:jc w:val="center"/>
      </w:pPr>
      <w:r>
        <w:t xml:space="preserve">     </w:t>
      </w:r>
    </w:p>
    <w:p w:rsidR="00000000" w:rsidRDefault="00EB1B82">
      <w:pPr>
        <w:pStyle w:val="TOPLEVELTEXT"/>
        <w:jc w:val="center"/>
      </w:pPr>
      <w:r>
        <w:rPr>
          <w:noProof/>
          <w:position w:val="-145"/>
        </w:rPr>
        <w:lastRenderedPageBreak/>
        <w:drawing>
          <wp:inline distT="0" distB="0" distL="0" distR="0">
            <wp:extent cx="7576185" cy="3681095"/>
            <wp:effectExtent l="0" t="0" r="5715"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576185" cy="3681095"/>
                    </a:xfrm>
                    <a:prstGeom prst="rect">
                      <a:avLst/>
                    </a:prstGeom>
                    <a:noFill/>
                    <a:ln>
                      <a:noFill/>
                    </a:ln>
                  </pic:spPr>
                </pic:pic>
              </a:graphicData>
            </a:graphic>
          </wp:inline>
        </w:drawing>
      </w:r>
    </w:p>
    <w:p w:rsidR="00000000" w:rsidRDefault="008F68A9">
      <w:pPr>
        <w:pStyle w:val="FORMATTEXT"/>
        <w:jc w:val="center"/>
      </w:pPr>
      <w:r>
        <w:t>    </w:t>
      </w:r>
    </w:p>
    <w:p w:rsidR="00000000" w:rsidRDefault="008F68A9">
      <w:pPr>
        <w:pStyle w:val="FORMATTEXT"/>
        <w:jc w:val="center"/>
      </w:pPr>
      <w:r>
        <w:t>Рисунок 8 - Оценивание неопределенности методом Монте-Карло (левая часть рисунка, выделенная пунктирной линией, о</w:t>
      </w:r>
      <w:r>
        <w:t xml:space="preserve">тносится к получению значения оценки </w:t>
      </w:r>
      <w:r w:rsidR="00EB1B82">
        <w:rPr>
          <w:noProof/>
          <w:position w:val="-7"/>
        </w:rPr>
        <w:drawing>
          <wp:inline distT="0" distB="0" distL="0" distR="0">
            <wp:extent cx="142240" cy="166370"/>
            <wp:effectExtent l="0" t="0" r="0" b="508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ассоциированной с ней стандартной неопределенности </w:t>
      </w:r>
      <w:r w:rsidR="00EB1B82">
        <w:rPr>
          <w:noProof/>
          <w:position w:val="-8"/>
        </w:rPr>
        <w:drawing>
          <wp:inline distT="0" distB="0" distL="0" distR="0">
            <wp:extent cx="308610" cy="201930"/>
            <wp:effectExtent l="0" t="0" r="0" b="762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остальная - к получению интервала охвата для </w:t>
      </w:r>
      <w:r w:rsidR="00EB1B82">
        <w:rPr>
          <w:noProof/>
          <w:position w:val="-7"/>
        </w:rPr>
        <w:drawing>
          <wp:inline distT="0" distB="0" distL="0" distR="0">
            <wp:extent cx="142240" cy="166370"/>
            <wp:effectExtent l="0" t="0" r="0" b="508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w:t>
      </w:r>
    </w:p>
    <w:p w:rsidR="00000000" w:rsidRDefault="008F68A9">
      <w:pPr>
        <w:pStyle w:val="FORMATTEXT"/>
        <w:ind w:firstLine="568"/>
        <w:jc w:val="both"/>
      </w:pPr>
      <w:r>
        <w:t>7.4.2 JCGM</w:t>
      </w:r>
      <w:r>
        <w:t xml:space="preserve"> 101 устанавливает адаптивную процедуру для метода Монте-Карло, в которой число испытаний определяется автоматически с использованием меры сходимости всего процесса в целом [см. JCGM 101 (7.9)].</w:t>
      </w:r>
    </w:p>
    <w:p w:rsidR="00000000" w:rsidRDefault="008F68A9">
      <w:pPr>
        <w:pStyle w:val="FORMATTEXT"/>
        <w:ind w:firstLine="568"/>
        <w:jc w:val="both"/>
      </w:pPr>
    </w:p>
    <w:p w:rsidR="00000000" w:rsidRDefault="008F68A9">
      <w:pPr>
        <w:pStyle w:val="FORMATTEXT"/>
        <w:ind w:firstLine="568"/>
        <w:jc w:val="both"/>
      </w:pPr>
      <w:r>
        <w:t xml:space="preserve">7.4.3 В JCGM 101 показано, как метод Монте-Карло может быть </w:t>
      </w:r>
      <w:r>
        <w:t>применен, чтобы решить, приемлемо ли применение способа оценивания неопределенности по GUM для каждого конкретного случая [см. JCGM 101 (раздел 8)].</w:t>
      </w:r>
    </w:p>
    <w:p w:rsidR="00000000" w:rsidRDefault="008F68A9">
      <w:pPr>
        <w:pStyle w:val="FORMATTEXT"/>
        <w:ind w:firstLine="568"/>
        <w:jc w:val="both"/>
      </w:pPr>
    </w:p>
    <w:p w:rsidR="00000000" w:rsidRDefault="008F68A9">
      <w:pPr>
        <w:pStyle w:val="FORMATTEXT"/>
        <w:ind w:firstLine="568"/>
        <w:jc w:val="both"/>
      </w:pPr>
      <w:r>
        <w:rPr>
          <w:b/>
          <w:bCs/>
        </w:rPr>
        <w:t>7.5 Модели измерения с произвольным числом выходных величин</w:t>
      </w:r>
    </w:p>
    <w:p w:rsidR="00000000" w:rsidRDefault="008F68A9">
      <w:pPr>
        <w:pStyle w:val="FORMATTEXT"/>
        <w:ind w:firstLine="568"/>
        <w:jc w:val="both"/>
      </w:pPr>
    </w:p>
    <w:p w:rsidR="00000000" w:rsidRDefault="008F68A9">
      <w:pPr>
        <w:pStyle w:val="FORMATTEXT"/>
        <w:ind w:firstLine="568"/>
        <w:jc w:val="both"/>
      </w:pPr>
      <w:r>
        <w:t>7.5.1 В случае измерений с использованием мод</w:t>
      </w:r>
      <w:r>
        <w:t>елей с произвольным числом выходных величин способы оценивания ассоциированных с ними неопределенностей и ковариаций, установленные как в GUM, так и в JCGM 101, требуют соответствующего обобщения. Суть такой модификации показана в GUM на ряде примеров [см.</w:t>
      </w:r>
      <w:r>
        <w:t xml:space="preserve"> JCGM 100 (F.1.2.3)].</w:t>
      </w:r>
    </w:p>
    <w:p w:rsidR="00000000" w:rsidRDefault="008F68A9">
      <w:pPr>
        <w:pStyle w:val="FORMATTEXT"/>
        <w:ind w:firstLine="568"/>
        <w:jc w:val="both"/>
      </w:pPr>
    </w:p>
    <w:p w:rsidR="00000000" w:rsidRDefault="008F68A9">
      <w:pPr>
        <w:pStyle w:val="FORMATTEXT"/>
        <w:ind w:firstLine="568"/>
        <w:jc w:val="both"/>
      </w:pPr>
      <w:r>
        <w:t>7.5.2 В [5] установлено, что закон трансформирования неопределенностей, составляющий основное содержание способа оценивания неопределенности по GUM для модели измерения с одной выходной величиной, может быть кратко представлен в матр</w:t>
      </w:r>
      <w:r>
        <w:t>ичной форме. Преимущество матричного представления состоит в том, что оно удобно для программной реализации метода, а также легко допускает обобщение на другие модели измерения.</w:t>
      </w:r>
    </w:p>
    <w:p w:rsidR="00000000" w:rsidRDefault="008F68A9">
      <w:pPr>
        <w:pStyle w:val="FORMATTEXT"/>
        <w:ind w:firstLine="568"/>
        <w:jc w:val="both"/>
      </w:pPr>
    </w:p>
    <w:p w:rsidR="00000000" w:rsidRDefault="008F68A9">
      <w:pPr>
        <w:pStyle w:val="FORMATTEXT"/>
        <w:ind w:firstLine="568"/>
        <w:jc w:val="both"/>
      </w:pPr>
      <w:r>
        <w:t>7.5.3 Указанное обобщение использовано в [5] для случая функции измерения с п</w:t>
      </w:r>
      <w:r>
        <w:t>роизвольным числом выходных величин. Аналогичное обобщение рассматривается в указанном документе и для случая модели измерения, представленной в общем виде (см. 3.16).</w:t>
      </w:r>
    </w:p>
    <w:p w:rsidR="00000000" w:rsidRDefault="008F68A9">
      <w:pPr>
        <w:pStyle w:val="FORMATTEXT"/>
        <w:ind w:firstLine="568"/>
        <w:jc w:val="both"/>
      </w:pPr>
    </w:p>
    <w:p w:rsidR="00000000" w:rsidRDefault="008F68A9">
      <w:pPr>
        <w:pStyle w:val="FORMATTEXT"/>
        <w:ind w:firstLine="568"/>
        <w:jc w:val="both"/>
      </w:pPr>
      <w:r>
        <w:t>7.5.4 Документ [5] также рассматривает применение для модели измерения с произвольным ч</w:t>
      </w:r>
      <w:r>
        <w:t>ислом выходных величин метода Монте-Карло. В нем дается вывод распределений вероятностей дискретного вида для выходных величин. На основе этих распределений получены формулы для значений оценок выходных величин, стандартных неопределенностей, ассоциированн</w:t>
      </w:r>
      <w:r>
        <w:t>ых с этими оценками, и ковариаций, ассоциированных с парами этих оценок.</w:t>
      </w:r>
    </w:p>
    <w:p w:rsidR="00000000" w:rsidRDefault="008F68A9">
      <w:pPr>
        <w:pStyle w:val="FORMATTEXT"/>
        <w:ind w:firstLine="568"/>
        <w:jc w:val="both"/>
      </w:pPr>
    </w:p>
    <w:p w:rsidR="00000000" w:rsidRDefault="008F68A9">
      <w:pPr>
        <w:pStyle w:val="FORMATTEXT"/>
        <w:ind w:firstLine="568"/>
        <w:jc w:val="both"/>
      </w:pPr>
      <w:r>
        <w:t>7.5.5 Требования к представлению результата измерения могут включать в себя, помимо указания значений оценок выходных величин вместе с ассоциированными стандартными неопределенностям</w:t>
      </w:r>
      <w:r>
        <w:t xml:space="preserve">и и ковариациями, указание </w:t>
      </w:r>
      <w:r>
        <w:rPr>
          <w:i/>
          <w:iCs/>
        </w:rPr>
        <w:t>области</w:t>
      </w:r>
      <w:r>
        <w:t xml:space="preserve">, содержащей выходные величины с заданной </w:t>
      </w:r>
      <w:r>
        <w:lastRenderedPageBreak/>
        <w:t>вероятностью (охвата). Такие области естественно было бы рассматривать как обобщения для вероятностно симметричного интервала охвата и наименьшего интервала охвата. Но если для наи</w:t>
      </w:r>
      <w:r>
        <w:t>меньшего интервала охвата его пространственный аналог существует (хотя его построение и сопряжено со значительными трудностями), то этого нельзя сказать в отношении области, аналогичной вероятностно симметричному интервалу охвата, которая не может быть опр</w:t>
      </w:r>
      <w:r>
        <w:t>еделена единственным образом.</w:t>
      </w:r>
    </w:p>
    <w:p w:rsidR="00000000" w:rsidRDefault="008F68A9">
      <w:pPr>
        <w:pStyle w:val="FORMATTEXT"/>
        <w:ind w:firstLine="568"/>
        <w:jc w:val="both"/>
      </w:pPr>
    </w:p>
    <w:p w:rsidR="00000000" w:rsidRDefault="008F68A9">
      <w:pPr>
        <w:pStyle w:val="FORMATTEXT"/>
        <w:ind w:firstLine="568"/>
        <w:jc w:val="both"/>
      </w:pPr>
      <w:r>
        <w:t xml:space="preserve">7.5.6 В ряде случаев целесообразно указывать </w:t>
      </w:r>
      <w:r>
        <w:rPr>
          <w:i/>
          <w:iCs/>
        </w:rPr>
        <w:t>приближенную</w:t>
      </w:r>
      <w:r>
        <w:t xml:space="preserve"> область охвата, имеющую простую геометрическую форму. С этой точки зрения рассматриваются две формы области охвата. Первая вытекает из ассоциирования выходных величин </w:t>
      </w:r>
      <w:r>
        <w:t xml:space="preserve">с совместным распределением Гаусса, например, на основе использования центральной предельной теоремы [см. JCGM 100 (раздел G.2)]. Тогда наименьшая область охвата будет иметь вид многомерного эллипсоида. Другой формой является многомерный параллелепипед. В </w:t>
      </w:r>
      <w:r>
        <w:t>[5] приведены способы построения наименьших областей охвата указанных двух форм.</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8 Применение неопределенности измерения для оценки соответствия </w:t>
      </w:r>
    </w:p>
    <w:p w:rsidR="00000000" w:rsidRDefault="008F68A9">
      <w:pPr>
        <w:pStyle w:val="FORMATTEXT"/>
        <w:ind w:firstLine="568"/>
        <w:jc w:val="both"/>
      </w:pPr>
      <w:r>
        <w:t>8.1 Оценка соответствия - важный аспект управления качеством производства, метрологического надзора, п</w:t>
      </w:r>
      <w:r>
        <w:t>роверки соответствия требованиям безопасности и санитарным нормам. Так при контроле качества деталей на производстве принимают решения о соответствии деталей техническим условиям. Аналогичные вопросы возникают при проверке соответствия законодательно устан</w:t>
      </w:r>
      <w:r>
        <w:t>овленным нормативам (например, по выбросам, уровню радиации, содержанию химических веществ, наличию следов допинга). Руководство, в котором рассматриваются подобные вопросы, приведено в [7] (см. также [18]).</w:t>
      </w:r>
    </w:p>
    <w:p w:rsidR="00000000" w:rsidRDefault="008F68A9">
      <w:pPr>
        <w:pStyle w:val="FORMATTEXT"/>
        <w:ind w:firstLine="568"/>
        <w:jc w:val="both"/>
      </w:pPr>
    </w:p>
    <w:p w:rsidR="00000000" w:rsidRDefault="008F68A9">
      <w:pPr>
        <w:pStyle w:val="FORMATTEXT"/>
        <w:ind w:firstLine="568"/>
        <w:jc w:val="both"/>
      </w:pPr>
      <w:r>
        <w:t>8.2 Измерение является неотъемлемой частью оцен</w:t>
      </w:r>
      <w:r>
        <w:t xml:space="preserve">ки соответствия, когда необходимо решить, соответствует ли выходная (измеряемая) величина установленному требованию. Для единственной величины такое требование обычно принимает вид границ, определяющих интервал допустимых значений величины. При отсутствии </w:t>
      </w:r>
      <w:r>
        <w:t>неопределенности полученное значение измеряемой величины, лежащее в пределах границ, считают соответствующим требованиям, в противном случае - несоответствующим. Наличие неопределенности измерения влияет на процедуру контроля и делает необходимым установле</w:t>
      </w:r>
      <w:r>
        <w:t>ние баланса рисков производителя и потребителя.</w:t>
      </w:r>
    </w:p>
    <w:p w:rsidR="00000000" w:rsidRDefault="008F68A9">
      <w:pPr>
        <w:pStyle w:val="FORMATTEXT"/>
        <w:ind w:firstLine="568"/>
        <w:jc w:val="both"/>
      </w:pPr>
    </w:p>
    <w:p w:rsidR="00000000" w:rsidRDefault="008F68A9">
      <w:pPr>
        <w:pStyle w:val="FORMATTEXT"/>
        <w:ind w:firstLine="568"/>
        <w:jc w:val="both"/>
      </w:pPr>
      <w:r>
        <w:t xml:space="preserve">8.3 Возможные значения контролируемой величины </w:t>
      </w:r>
      <w:r w:rsidR="00EB1B82">
        <w:rPr>
          <w:noProof/>
          <w:position w:val="-7"/>
        </w:rPr>
        <w:drawing>
          <wp:inline distT="0" distB="0" distL="0" distR="0">
            <wp:extent cx="142240" cy="166370"/>
            <wp:effectExtent l="0" t="0" r="0" b="508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представляют распределением вероятностей. Можно рассчитать вероятность, с которой </w:t>
      </w:r>
      <w:r w:rsidR="00EB1B82">
        <w:rPr>
          <w:noProof/>
          <w:position w:val="-7"/>
        </w:rPr>
        <w:drawing>
          <wp:inline distT="0" distB="0" distL="0" distR="0">
            <wp:extent cx="142240" cy="166370"/>
            <wp:effectExtent l="0" t="0" r="0" b="508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соответ</w:t>
      </w:r>
      <w:r>
        <w:t>ствует установленным требованиям при данном распределении вероятностей и заданных границах допустимых значений.</w:t>
      </w:r>
    </w:p>
    <w:p w:rsidR="00000000" w:rsidRDefault="008F68A9">
      <w:pPr>
        <w:pStyle w:val="FORMATTEXT"/>
        <w:ind w:firstLine="568"/>
        <w:jc w:val="both"/>
      </w:pPr>
    </w:p>
    <w:p w:rsidR="00000000" w:rsidRDefault="008F68A9">
      <w:pPr>
        <w:pStyle w:val="FORMATTEXT"/>
        <w:ind w:firstLine="568"/>
        <w:jc w:val="both"/>
      </w:pPr>
      <w:r>
        <w:t xml:space="preserve">8.4 Из-за неполного знания величины </w:t>
      </w:r>
      <w:r w:rsidR="00EB1B82">
        <w:rPr>
          <w:noProof/>
          <w:position w:val="-7"/>
        </w:rPr>
        <w:drawing>
          <wp:inline distT="0" distB="0" distL="0" distR="0">
            <wp:extent cx="142240" cy="166370"/>
            <wp:effectExtent l="0" t="0" r="0" b="508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(что отражает ее распределение вероятностей) существует риск ошибочного</w:t>
      </w:r>
      <w:r>
        <w:t xml:space="preserve"> решения при определении соответствия установленным требованиям. Ошибочные решения бывают двух типов: когда значение величины признано соответствующим требованиям, но на самом деле им не является, и когда значение величины признано несоответствующим, но на</w:t>
      </w:r>
      <w:r>
        <w:t xml:space="preserve"> самом деле установленным требованиям удовлетворяет. Связанные с этим риски относят, соответственно, к </w:t>
      </w:r>
      <w:r>
        <w:rPr>
          <w:i/>
          <w:iCs/>
        </w:rPr>
        <w:t>риску потребителя и риску производителя</w:t>
      </w:r>
      <w:r>
        <w:t xml:space="preserve"> (см. [7]).</w:t>
      </w:r>
    </w:p>
    <w:p w:rsidR="00000000" w:rsidRDefault="008F68A9">
      <w:pPr>
        <w:pStyle w:val="FORMATTEXT"/>
        <w:ind w:firstLine="568"/>
        <w:jc w:val="both"/>
      </w:pPr>
    </w:p>
    <w:p w:rsidR="00000000" w:rsidRDefault="008F68A9">
      <w:pPr>
        <w:pStyle w:val="FORMATTEXT"/>
        <w:ind w:firstLine="568"/>
        <w:jc w:val="both"/>
      </w:pPr>
      <w:r>
        <w:t xml:space="preserve">8.5 Риски ошибочного решения в части соответствия или несоответствия установленным требованиям можно </w:t>
      </w:r>
      <w:r>
        <w:t xml:space="preserve">уравновесить, выбирая </w:t>
      </w:r>
      <w:r>
        <w:rPr>
          <w:i/>
          <w:iCs/>
        </w:rPr>
        <w:t>интервал приемки</w:t>
      </w:r>
      <w:r>
        <w:t xml:space="preserve"> для полученных значений измеряемой величины таким образом, чтобы минимизировать потери, связанные с ошибочными решениями [19]. В [7] рассматривается задача вычисления вероятности соответствия и вероятностей ошибочных </w:t>
      </w:r>
      <w:r>
        <w:t>решений указанных двух типов для заданных распределений вероятностей и заданных границ интервала приемки. Выбор границ интервала приемки зависит от последствий принятия ошибочных решений.</w:t>
      </w:r>
    </w:p>
    <w:p w:rsidR="00000000" w:rsidRDefault="008F68A9">
      <w:pPr>
        <w:pStyle w:val="FORMATTEXT"/>
        <w:ind w:firstLine="568"/>
        <w:jc w:val="both"/>
      </w:pPr>
    </w:p>
    <w:p w:rsidR="00000000" w:rsidRDefault="008F68A9">
      <w:pPr>
        <w:pStyle w:val="FORMATTEXT"/>
        <w:ind w:firstLine="568"/>
        <w:jc w:val="both"/>
      </w:pPr>
      <w:r>
        <w:t xml:space="preserve">8.6 Хотя сказанное в 8.3 и 8.5 справедливо для любых распределений </w:t>
      </w:r>
      <w:r>
        <w:t>вероятностей, в [7], в основном, рассматривается случай нормального распределения как наиболее характерного для практики.</w:t>
      </w:r>
    </w:p>
    <w:p w:rsidR="00000000" w:rsidRDefault="008F68A9">
      <w:pPr>
        <w:pStyle w:val="FORMATTEXT"/>
        <w:ind w:firstLine="568"/>
        <w:jc w:val="both"/>
      </w:pPr>
    </w:p>
    <w:p w:rsidR="00000000" w:rsidRDefault="008F68A9">
      <w:pPr>
        <w:pStyle w:val="HEADERTEXT"/>
        <w:rPr>
          <w:b/>
          <w:bCs/>
          <w:color w:val="000001"/>
        </w:rPr>
      </w:pPr>
    </w:p>
    <w:p w:rsidR="00000000" w:rsidRDefault="008F68A9">
      <w:pPr>
        <w:pStyle w:val="HEADERTEXT"/>
        <w:jc w:val="both"/>
        <w:rPr>
          <w:b/>
          <w:bCs/>
          <w:color w:val="000001"/>
        </w:rPr>
      </w:pPr>
      <w:r>
        <w:rPr>
          <w:b/>
          <w:bCs/>
          <w:color w:val="000001"/>
        </w:rPr>
        <w:t xml:space="preserve">      9 Применение метода наименьших квадратов </w:t>
      </w:r>
    </w:p>
    <w:p w:rsidR="00000000" w:rsidRDefault="008F68A9">
      <w:pPr>
        <w:pStyle w:val="FORMATTEXT"/>
        <w:ind w:firstLine="568"/>
        <w:jc w:val="both"/>
      </w:pPr>
      <w:r>
        <w:t>9.1 Руководство по применению метода наименьших квадратов (известного так же как под</w:t>
      </w:r>
      <w:r>
        <w:t>гонка методом наименьших квадратов) для задач по оцениванию данных в метрологии представлено в [3]. В таких задачах часто используется некоторое теоретическое соотношение между независимой и зависимой переменными. Это соотношение составляет основу для подг</w:t>
      </w:r>
      <w:r>
        <w:t xml:space="preserve">онки кривой под имеющиеся данные посредством подбора параметров теоретической зависимости. Входные величины в соответствующей модели измерений - это зависимые и независимые переменные, для которых </w:t>
      </w:r>
      <w:r>
        <w:lastRenderedPageBreak/>
        <w:t xml:space="preserve">получены данные измерений. Выходные величины - это искомые </w:t>
      </w:r>
      <w:r>
        <w:t>параметры зависимости. Способ, которым выходные величины получают из входных величин посредством метода наименьших квадратов, определяет модель измерения.</w:t>
      </w:r>
    </w:p>
    <w:p w:rsidR="00000000" w:rsidRDefault="008F68A9">
      <w:pPr>
        <w:pStyle w:val="FORMATTEXT"/>
        <w:ind w:firstLine="568"/>
        <w:jc w:val="both"/>
      </w:pPr>
    </w:p>
    <w:p w:rsidR="00000000" w:rsidRDefault="008F68A9">
      <w:pPr>
        <w:pStyle w:val="FORMATTEXT"/>
        <w:ind w:firstLine="568"/>
        <w:jc w:val="both"/>
      </w:pPr>
      <w:r>
        <w:t>9.2 Применительно к калибровке (см. 6.8) значение измеряемой величины независимой переменной в больш</w:t>
      </w:r>
      <w:r>
        <w:t>инстве случаев получают от эталона. Значение зависимой переменной будет показанием, полученным измерительной системой для соответствующего значения независимой переменной. Установленная в [3] процедура подгонки кривой, частным случаем которой является град</w:t>
      </w:r>
      <w:r>
        <w:t>уировочная характеристика, получаемая в процессе калибровки, является обобщением обычного метода наименьших квадратов.</w:t>
      </w:r>
    </w:p>
    <w:p w:rsidR="00000000" w:rsidRDefault="008F68A9">
      <w:pPr>
        <w:pStyle w:val="FORMATTEXT"/>
        <w:ind w:firstLine="568"/>
        <w:jc w:val="both"/>
      </w:pPr>
    </w:p>
    <w:p w:rsidR="00000000" w:rsidRDefault="008F68A9">
      <w:pPr>
        <w:pStyle w:val="FORMATTEXT"/>
        <w:ind w:firstLine="568"/>
        <w:jc w:val="both"/>
      </w:pPr>
      <w:r>
        <w:t>9.3 Измерительная задача состоит в том, чтобы оценить параметры (а иногда и число этих параметров) по данным, представляющим собой набор</w:t>
      </w:r>
      <w:r>
        <w:t xml:space="preserve"> пар из полученного значения измеряемой величины и соответствующего показания. Эти пары вместе с ассоциированными стандартными неопределенностями и, когда уместно, ковариациями, составляют исходные данные для процедуры подгонки.</w:t>
      </w:r>
    </w:p>
    <w:p w:rsidR="00000000" w:rsidRDefault="008F68A9">
      <w:pPr>
        <w:pStyle w:val="FORMATTEXT"/>
        <w:ind w:firstLine="568"/>
        <w:jc w:val="both"/>
      </w:pPr>
    </w:p>
    <w:p w:rsidR="00000000" w:rsidRDefault="008F68A9">
      <w:pPr>
        <w:pStyle w:val="FORMATTEXT"/>
        <w:ind w:firstLine="568"/>
        <w:jc w:val="both"/>
      </w:pPr>
      <w:r>
        <w:t>9.4 Типичные измерительные</w:t>
      </w:r>
      <w:r>
        <w:t xml:space="preserve"> задачи, к которым может быть применено руководство [3], включают в себя: а) подгонку линейных и нелинейных зависимостей, включая случай неточно известных значений независимой переменной; b) выбор модели из некоторого класса для оценки параметров физическо</w:t>
      </w:r>
      <w:r>
        <w:t xml:space="preserve">го процесса. Применение [3] не ограничено в самом строгом смысле задачами подгонки кривой. Это руководство может также быть использовано для обработки данных, например, в задачах свертки [21], согласования фундаментальных констант [22] и оценивания данных </w:t>
      </w:r>
      <w:r>
        <w:t>ключевых сличений [9].</w:t>
      </w:r>
    </w:p>
    <w:p w:rsidR="00000000" w:rsidRDefault="008F68A9">
      <w:pPr>
        <w:pStyle w:val="FORMATTEXT"/>
        <w:ind w:firstLine="568"/>
        <w:jc w:val="both"/>
      </w:pPr>
    </w:p>
    <w:p w:rsidR="00000000" w:rsidRDefault="008F68A9">
      <w:pPr>
        <w:pStyle w:val="FORMATTEXT"/>
        <w:ind w:firstLine="568"/>
        <w:jc w:val="both"/>
      </w:pPr>
      <w:r>
        <w:t>9.5 Задачи, указанные в 9.4, перечисление а), предполагают, что после оценивания методом наименьших квадратов параметров градуировочной характеристики и ассоциированных с ними стандартных неопределенностей и ковариаций измерительная</w:t>
      </w:r>
      <w:r>
        <w:t xml:space="preserve"> система будет далее использоваться для проведения измерения, в ходе которого оценки параметров градуировочной характеристики вместе со значением полученного показания используют для оценивания измеряемой величины. Стандартную неопределенность, ассоциирова</w:t>
      </w:r>
      <w:r>
        <w:t>нную со значением оценки измеряемой величины, вычисляют с использованием стандартных неопределенностей и ковариаций для параметров градуировочной характеристики и стандартной неопределенностью, ассоциированной с показанием измерительной системы.</w:t>
      </w:r>
    </w:p>
    <w:p w:rsidR="00000000" w:rsidRDefault="008F68A9">
      <w:pPr>
        <w:pStyle w:val="FORMATTEXT"/>
        <w:ind w:firstLine="568"/>
        <w:jc w:val="both"/>
      </w:pPr>
    </w:p>
    <w:p w:rsidR="00000000" w:rsidRDefault="008F68A9">
      <w:pPr>
        <w:pStyle w:val="FORMATTEXT"/>
        <w:ind w:firstLine="568"/>
        <w:jc w:val="both"/>
      </w:pPr>
      <w:r>
        <w:t>9.6 В [3]</w:t>
      </w:r>
      <w:r>
        <w:t xml:space="preserve"> особо подчеркивается, что постановку и решение измерительной задачи методом наименьших квадратов следует осуществлять с учетом </w:t>
      </w:r>
      <w:r>
        <w:rPr>
          <w:i/>
          <w:iCs/>
        </w:rPr>
        <w:t>структуры неопределенности</w:t>
      </w:r>
      <w:r>
        <w:t xml:space="preserve">, т.е. с учетом стандартных неопределенностей для зависимых и независимых переменных и ковариаций для </w:t>
      </w:r>
      <w:r>
        <w:t>пар этих переменных.</w:t>
      </w:r>
    </w:p>
    <w:p w:rsidR="00000000" w:rsidRDefault="008F68A9">
      <w:pPr>
        <w:pStyle w:val="FORMATTEXT"/>
        <w:ind w:firstLine="568"/>
        <w:jc w:val="both"/>
      </w:pPr>
    </w:p>
    <w:p w:rsidR="00000000" w:rsidRDefault="008F68A9">
      <w:pPr>
        <w:pStyle w:val="FORMATTEXT"/>
        <w:ind w:firstLine="568"/>
        <w:jc w:val="both"/>
      </w:pPr>
      <w:r>
        <w:t>9.7 Задачи, указанные в 9.4, перечисления а) и b), редко предполагают подгонку к значениям только одной выходной величины. Чаще случается так, что выходных величин несколько, поэтому соответствующие математические выражения удобнее пр</w:t>
      </w:r>
      <w:r>
        <w:t>едставлять в матричной форме. В [3] матричный формализм использован максимально широко, что облегчает программирование алгоритма вычислений и соответствует потребностям практики измерений (см. также 7.5).</w:t>
      </w:r>
    </w:p>
    <w:p w:rsidR="00000000" w:rsidRDefault="008F68A9">
      <w:pPr>
        <w:pStyle w:val="FORMATTEXT"/>
        <w:ind w:firstLine="568"/>
        <w:jc w:val="both"/>
      </w:pPr>
    </w:p>
    <w:p w:rsidR="00000000" w:rsidRDefault="008F68A9">
      <w:pPr>
        <w:pStyle w:val="FORMATTEXT"/>
        <w:jc w:val="center"/>
      </w:pPr>
      <w:r>
        <w:t>Приложение А</w:t>
      </w:r>
    </w:p>
    <w:p w:rsidR="00000000" w:rsidRDefault="008F68A9">
      <w:pPr>
        <w:pStyle w:val="FORMATTEXT"/>
        <w:jc w:val="center"/>
      </w:pPr>
      <w:r>
        <w:t xml:space="preserve">(справочное) </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w:t>
      </w:r>
    </w:p>
    <w:p w:rsidR="00000000" w:rsidRDefault="008F68A9">
      <w:pPr>
        <w:pStyle w:val="HEADERTEXT"/>
        <w:jc w:val="center"/>
        <w:rPr>
          <w:b/>
          <w:bCs/>
          <w:color w:val="000001"/>
        </w:rPr>
      </w:pPr>
      <w:r>
        <w:rPr>
          <w:b/>
          <w:bCs/>
          <w:color w:val="000001"/>
        </w:rPr>
        <w:t>Используемые со</w:t>
      </w:r>
      <w:r>
        <w:rPr>
          <w:b/>
          <w:bCs/>
          <w:color w:val="000001"/>
        </w:rPr>
        <w:t xml:space="preserve">кращения </w:t>
      </w:r>
    </w:p>
    <w:p w:rsidR="00000000" w:rsidRDefault="008F68A9">
      <w:pPr>
        <w:pStyle w:val="FORMATTEXT"/>
        <w:ind w:firstLine="568"/>
        <w:jc w:val="both"/>
      </w:pPr>
      <w:r>
        <w:t>В таблице А.1 представлены сокращения, используемые в настоящем документе.</w:t>
      </w:r>
    </w:p>
    <w:p w:rsidR="00000000" w:rsidRDefault="008F68A9">
      <w:pPr>
        <w:pStyle w:val="FORMATTEXT"/>
        <w:ind w:firstLine="568"/>
        <w:jc w:val="both"/>
      </w:pPr>
    </w:p>
    <w:p w:rsidR="00000000" w:rsidRDefault="008F68A9">
      <w:pPr>
        <w:pStyle w:val="FORMATTEXT"/>
        <w:jc w:val="both"/>
      </w:pPr>
      <w:r>
        <w:t>Таблица А.1</w:t>
      </w:r>
    </w:p>
    <w:tbl>
      <w:tblPr>
        <w:tblW w:w="0" w:type="auto"/>
        <w:tblInd w:w="28" w:type="dxa"/>
        <w:tblLayout w:type="fixed"/>
        <w:tblCellMar>
          <w:left w:w="90" w:type="dxa"/>
          <w:right w:w="90" w:type="dxa"/>
        </w:tblCellMar>
        <w:tblLook w:val="0000" w:firstRow="0" w:lastRow="0" w:firstColumn="0" w:lastColumn="0" w:noHBand="0" w:noVBand="0"/>
      </w:tblPr>
      <w:tblGrid>
        <w:gridCol w:w="1980"/>
        <w:gridCol w:w="6945"/>
      </w:tblGrid>
      <w:tr w:rsidR="00000000">
        <w:tblPrEx>
          <w:tblCellMar>
            <w:top w:w="0" w:type="dxa"/>
            <w:bottom w:w="0" w:type="dxa"/>
          </w:tblCellMar>
        </w:tblPrEx>
        <w:tc>
          <w:tcPr>
            <w:tcW w:w="1980"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c>
          <w:tcPr>
            <w:tcW w:w="6945"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Сокращение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Расшифровка</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МБМВ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Международное бюро мер и весов</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GUM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Руководство по выражению неопределенности измерения</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МЭК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Международная электротехничес</w:t>
            </w:r>
            <w:r>
              <w:rPr>
                <w:sz w:val="18"/>
                <w:szCs w:val="18"/>
              </w:rPr>
              <w:t>кая комиссия</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lastRenderedPageBreak/>
              <w:t xml:space="preserve">МФКХ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Международная федерация клинической химии и лабораторной медицины</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ИЛАК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Международное сотрудничество по аккредитации лабораторий</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ИСО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Международная организация по стандартизации</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ИЮПАК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Международный союз теоретической и прикладной хи</w:t>
            </w:r>
            <w:r>
              <w:rPr>
                <w:sz w:val="18"/>
                <w:szCs w:val="18"/>
              </w:rPr>
              <w:t>мии</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ИЮПАП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Международный союз теоретической и прикладной физики</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JCGM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Объединенный комитет по руководствам в метрологии</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ИСО/ТАГ 4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Техническая консультативная группа по метрологии ИСО</w:t>
            </w:r>
          </w:p>
        </w:tc>
      </w:tr>
      <w:tr w:rsidR="00000000">
        <w:tblPrEx>
          <w:tblCellMar>
            <w:top w:w="0" w:type="dxa"/>
            <w:bottom w:w="0" w:type="dxa"/>
          </w:tblCellMar>
        </w:tblPrEx>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VIM </w:t>
            </w:r>
          </w:p>
        </w:tc>
        <w:tc>
          <w:tcPr>
            <w:tcW w:w="6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Международный словарь по метрологии. Основные и общие понятия и</w:t>
            </w:r>
            <w:r>
              <w:rPr>
                <w:sz w:val="18"/>
                <w:szCs w:val="18"/>
              </w:rPr>
              <w:t xml:space="preserve"> связанные с ними термины</w:t>
            </w:r>
          </w:p>
        </w:tc>
      </w:tr>
    </w:tbl>
    <w:p w:rsidR="00000000" w:rsidRDefault="008F68A9">
      <w:pPr>
        <w:pStyle w:val="a3"/>
      </w:pPr>
    </w:p>
    <w:p w:rsidR="00000000" w:rsidRDefault="008F68A9">
      <w:pPr>
        <w:pStyle w:val="FORMATTEXT"/>
        <w:jc w:val="center"/>
      </w:pPr>
      <w:r>
        <w:t>     </w:t>
      </w:r>
    </w:p>
    <w:p w:rsidR="00000000" w:rsidRDefault="008F68A9">
      <w:pPr>
        <w:pStyle w:val="FORMATTEXT"/>
        <w:jc w:val="center"/>
      </w:pPr>
      <w:r>
        <w:t xml:space="preserve">      </w:t>
      </w:r>
    </w:p>
    <w:p w:rsidR="00000000" w:rsidRDefault="008F68A9">
      <w:pPr>
        <w:pStyle w:val="FORMATTEXT"/>
        <w:jc w:val="center"/>
      </w:pPr>
      <w:r>
        <w:t>Приложение ДА</w:t>
      </w:r>
    </w:p>
    <w:p w:rsidR="00000000" w:rsidRDefault="008F68A9">
      <w:pPr>
        <w:pStyle w:val="FORMATTEXT"/>
        <w:jc w:val="center"/>
      </w:pPr>
      <w:r>
        <w:t xml:space="preserve">(справочное) </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w:t>
      </w:r>
    </w:p>
    <w:p w:rsidR="00000000" w:rsidRDefault="008F68A9">
      <w:pPr>
        <w:pStyle w:val="HEADERTEXT"/>
        <w:jc w:val="center"/>
        <w:rPr>
          <w:b/>
          <w:bCs/>
          <w:color w:val="000001"/>
        </w:rPr>
      </w:pPr>
      <w:r>
        <w:rPr>
          <w:b/>
          <w:bCs/>
          <w:color w:val="000001"/>
        </w:rPr>
        <w:t xml:space="preserve">Сведения о соответствии ссылочных международных стандартов и документов ссылочным национальным стандартам Российской Федерации </w:t>
      </w:r>
    </w:p>
    <w:p w:rsidR="00000000" w:rsidRDefault="008F68A9">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1560"/>
        <w:gridCol w:w="1200"/>
        <w:gridCol w:w="6345"/>
      </w:tblGrid>
      <w:tr w:rsidR="00000000">
        <w:tblPrEx>
          <w:tblCellMar>
            <w:top w:w="0" w:type="dxa"/>
            <w:bottom w:w="0" w:type="dxa"/>
          </w:tblCellMar>
        </w:tblPrEx>
        <w:tc>
          <w:tcPr>
            <w:tcW w:w="1560"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c>
          <w:tcPr>
            <w:tcW w:w="1200"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c>
          <w:tcPr>
            <w:tcW w:w="6345"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Обозначение ссылочного международн</w:t>
            </w:r>
            <w:r>
              <w:rPr>
                <w:sz w:val="18"/>
                <w:szCs w:val="18"/>
              </w:rPr>
              <w:t>ого стандарта, документа</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Степень соответствия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Обозначение и наименование соответствующего национального стандарта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 xml:space="preserve">JCGM 100:2008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IDT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both"/>
              <w:rPr>
                <w:sz w:val="18"/>
                <w:szCs w:val="18"/>
              </w:rPr>
            </w:pPr>
            <w:r>
              <w:rPr>
                <w:sz w:val="18"/>
                <w:szCs w:val="18"/>
              </w:rPr>
              <w:t>ГОСТ Р 54500.3 "Неопределенность измерения. Часть 3. Руководство по выражению неопределенности измерения"</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JCGM 101:200</w:t>
            </w:r>
            <w:r>
              <w:rPr>
                <w:sz w:val="18"/>
                <w:szCs w:val="18"/>
              </w:rPr>
              <w:t xml:space="preserve">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IDT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both"/>
              <w:rPr>
                <w:sz w:val="18"/>
                <w:szCs w:val="18"/>
              </w:rPr>
            </w:pPr>
            <w:r>
              <w:rPr>
                <w:sz w:val="18"/>
                <w:szCs w:val="18"/>
              </w:rPr>
              <w:t>ГОСТ Р 54500.3.1 "Неопределенность измерения. Часть 3. Руководство по выражению неопределенности измерения. Дополнение 1. Трансформирование распределений с использованием метода Монте-Карло"</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 xml:space="preserve">JCGM 200:2008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 xml:space="preserve">ИСО 3534-1:2006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ИСО</w:t>
            </w:r>
            <w:r>
              <w:rPr>
                <w:sz w:val="18"/>
                <w:szCs w:val="18"/>
              </w:rPr>
              <w:t xml:space="preserve"> 3534-2:2006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rPr>
                <w:sz w:val="18"/>
                <w:szCs w:val="18"/>
              </w:rPr>
            </w:pPr>
            <w:r>
              <w:rPr>
                <w:sz w:val="18"/>
                <w:szCs w:val="18"/>
              </w:rPr>
              <w:t xml:space="preserve">ИСО 3534-3:1999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 xml:space="preserve">- </w:t>
            </w:r>
          </w:p>
        </w:tc>
        <w:tc>
          <w:tcPr>
            <w:tcW w:w="63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a3"/>
              <w:jc w:val="center"/>
              <w:rPr>
                <w:sz w:val="18"/>
                <w:szCs w:val="18"/>
              </w:rPr>
            </w:pPr>
            <w:r>
              <w:rPr>
                <w:sz w:val="18"/>
                <w:szCs w:val="18"/>
              </w:rPr>
              <w:t>*</w:t>
            </w:r>
            <w:r w:rsidR="00EB1B82">
              <w:rPr>
                <w:noProof/>
                <w:position w:val="-9"/>
                <w:sz w:val="18"/>
                <w:szCs w:val="18"/>
              </w:rPr>
              <w:drawing>
                <wp:inline distT="0" distB="0" distL="0" distR="0">
                  <wp:extent cx="118745" cy="213995"/>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p>
        </w:tc>
      </w:tr>
      <w:tr w:rsidR="00000000">
        <w:tblPrEx>
          <w:tblCellMar>
            <w:top w:w="0" w:type="dxa"/>
            <w:bottom w:w="0" w:type="dxa"/>
          </w:tblCellMar>
        </w:tblPrEx>
        <w:tc>
          <w:tcPr>
            <w:tcW w:w="910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8F68A9">
            <w:pPr>
              <w:pStyle w:val="FORMATTEXT"/>
              <w:ind w:firstLine="568"/>
              <w:jc w:val="both"/>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документа. Перевод данного межд</w:t>
            </w:r>
            <w:r>
              <w:rPr>
                <w:sz w:val="18"/>
                <w:szCs w:val="18"/>
              </w:rPr>
              <w:t>ународного документа находится в Федеральном информационном фонде технических регламентов и стандартов.</w:t>
            </w:r>
          </w:p>
          <w:p w:rsidR="00000000" w:rsidRDefault="008F68A9">
            <w:pPr>
              <w:pStyle w:val="a3"/>
              <w:ind w:firstLine="568"/>
              <w:jc w:val="both"/>
              <w:rPr>
                <w:sz w:val="18"/>
                <w:szCs w:val="18"/>
              </w:rPr>
            </w:pPr>
          </w:p>
          <w:p w:rsidR="00000000" w:rsidRDefault="008F68A9">
            <w:pPr>
              <w:pStyle w:val="a3"/>
              <w:jc w:val="both"/>
              <w:rPr>
                <w:sz w:val="18"/>
                <w:szCs w:val="18"/>
              </w:rPr>
            </w:pPr>
          </w:p>
          <w:p w:rsidR="00000000" w:rsidRDefault="00EB1B82">
            <w:pPr>
              <w:pStyle w:val="FORMATTEXT"/>
              <w:ind w:firstLine="568"/>
              <w:jc w:val="both"/>
              <w:rPr>
                <w:sz w:val="18"/>
                <w:szCs w:val="18"/>
              </w:rPr>
            </w:pPr>
            <w:r>
              <w:rPr>
                <w:noProof/>
                <w:position w:val="-9"/>
                <w:sz w:val="18"/>
                <w:szCs w:val="18"/>
              </w:rPr>
              <w:drawing>
                <wp:inline distT="0" distB="0" distL="0" distR="0">
                  <wp:extent cx="118745" cy="213995"/>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sidR="008F68A9">
              <w:rPr>
                <w:sz w:val="18"/>
                <w:szCs w:val="18"/>
              </w:rPr>
              <w:t>Данный международный стандарт был введен как Р 50.1.040-2002 "Статистические методы. Планирование экспериментов. Термины и определения".</w:t>
            </w:r>
          </w:p>
          <w:p w:rsidR="00000000" w:rsidRDefault="008F68A9">
            <w:pPr>
              <w:pStyle w:val="a3"/>
              <w:ind w:firstLine="568"/>
              <w:jc w:val="both"/>
              <w:rPr>
                <w:sz w:val="18"/>
                <w:szCs w:val="18"/>
              </w:rPr>
            </w:pPr>
          </w:p>
          <w:p w:rsidR="00000000" w:rsidRDefault="008F68A9">
            <w:pPr>
              <w:pStyle w:val="a3"/>
              <w:jc w:val="both"/>
              <w:rPr>
                <w:sz w:val="18"/>
                <w:szCs w:val="18"/>
              </w:rPr>
            </w:pPr>
          </w:p>
          <w:p w:rsidR="00000000" w:rsidRDefault="008F68A9">
            <w:pPr>
              <w:pStyle w:val="FORMATTEXT"/>
              <w:ind w:firstLine="568"/>
              <w:jc w:val="both"/>
              <w:rPr>
                <w:sz w:val="18"/>
                <w:szCs w:val="18"/>
              </w:rPr>
            </w:pPr>
            <w:r>
              <w:rPr>
                <w:sz w:val="18"/>
                <w:szCs w:val="18"/>
              </w:rPr>
              <w:t>Примечание - В настоящей таблице использовано следующее условное обозначение степе</w:t>
            </w:r>
            <w:r>
              <w:rPr>
                <w:sz w:val="18"/>
                <w:szCs w:val="18"/>
              </w:rPr>
              <w:t>ни соответствия стандартов:</w:t>
            </w:r>
          </w:p>
          <w:p w:rsidR="00000000" w:rsidRDefault="008F68A9">
            <w:pPr>
              <w:pStyle w:val="a3"/>
              <w:ind w:firstLine="568"/>
              <w:jc w:val="both"/>
              <w:rPr>
                <w:sz w:val="18"/>
                <w:szCs w:val="18"/>
              </w:rPr>
            </w:pPr>
          </w:p>
          <w:p w:rsidR="00000000" w:rsidRDefault="008F68A9">
            <w:pPr>
              <w:pStyle w:val="a3"/>
              <w:jc w:val="both"/>
              <w:rPr>
                <w:sz w:val="18"/>
                <w:szCs w:val="18"/>
              </w:rPr>
            </w:pPr>
          </w:p>
          <w:p w:rsidR="00000000" w:rsidRDefault="008F68A9">
            <w:pPr>
              <w:pStyle w:val="a3"/>
              <w:ind w:firstLine="568"/>
              <w:jc w:val="both"/>
              <w:rPr>
                <w:sz w:val="18"/>
                <w:szCs w:val="18"/>
              </w:rPr>
            </w:pPr>
            <w:r>
              <w:rPr>
                <w:sz w:val="18"/>
                <w:szCs w:val="18"/>
              </w:rPr>
              <w:t>- IDT - идентичные стандарты.</w:t>
            </w:r>
          </w:p>
        </w:tc>
      </w:tr>
    </w:tbl>
    <w:p w:rsidR="00000000" w:rsidRDefault="008F68A9">
      <w:pPr>
        <w:pStyle w:val="a3"/>
      </w:pPr>
    </w:p>
    <w:p w:rsidR="00000000" w:rsidRDefault="008F68A9">
      <w:pPr>
        <w:pStyle w:val="FORMATTEXT"/>
        <w:jc w:val="center"/>
      </w:pPr>
      <w:r>
        <w:t xml:space="preserve">  </w:t>
      </w:r>
    </w:p>
    <w:p w:rsidR="00000000" w:rsidRDefault="008F68A9">
      <w:pPr>
        <w:pStyle w:val="HEADERTEXT"/>
        <w:rPr>
          <w:b/>
          <w:bCs/>
          <w:color w:val="000001"/>
        </w:rPr>
      </w:pPr>
    </w:p>
    <w:p w:rsidR="00000000" w:rsidRDefault="008F68A9">
      <w:pPr>
        <w:pStyle w:val="HEADERTEXT"/>
        <w:jc w:val="center"/>
        <w:rPr>
          <w:b/>
          <w:bCs/>
          <w:color w:val="000001"/>
        </w:rPr>
      </w:pPr>
      <w:r>
        <w:rPr>
          <w:b/>
          <w:bCs/>
          <w:color w:val="000001"/>
        </w:rPr>
        <w:t xml:space="preserve">      </w:t>
      </w:r>
    </w:p>
    <w:p w:rsidR="00000000" w:rsidRDefault="008F68A9">
      <w:pPr>
        <w:pStyle w:val="HEADERTEXT"/>
        <w:jc w:val="center"/>
        <w:rPr>
          <w:b/>
          <w:bCs/>
          <w:color w:val="000001"/>
        </w:rPr>
      </w:pPr>
      <w:r>
        <w:rPr>
          <w:b/>
          <w:bCs/>
          <w:color w:val="000001"/>
        </w:rPr>
        <w:t xml:space="preserve">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05"/>
        <w:gridCol w:w="8595"/>
      </w:tblGrid>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c>
          <w:tcPr>
            <w:tcW w:w="8595" w:type="dxa"/>
            <w:tcBorders>
              <w:top w:val="nil"/>
              <w:left w:val="nil"/>
              <w:bottom w:val="nil"/>
              <w:right w:val="nil"/>
            </w:tcBorders>
            <w:tcMar>
              <w:top w:w="114" w:type="dxa"/>
              <w:left w:w="28" w:type="dxa"/>
              <w:bottom w:w="114" w:type="dxa"/>
              <w:right w:w="28" w:type="dxa"/>
            </w:tcMar>
          </w:tcPr>
          <w:p w:rsidR="00000000" w:rsidRDefault="008F68A9">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Bell, S. Measurement Good Practice Guide No. 11. A Beginner’s Guide to Uncertainty of Measurement. </w:t>
            </w:r>
            <w:r>
              <w:rPr>
                <w:sz w:val="18"/>
                <w:szCs w:val="18"/>
              </w:rPr>
              <w:t>Tech. rep., National Physical Laboratory, 1999</w:t>
            </w:r>
          </w:p>
        </w:tc>
      </w:tr>
      <w:tr w:rsidR="00000000" w:rsidRPr="00EB1B82">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 </w:t>
            </w:r>
          </w:p>
        </w:tc>
        <w:tc>
          <w:tcPr>
            <w:tcW w:w="8595" w:type="dxa"/>
            <w:tcBorders>
              <w:top w:val="nil"/>
              <w:left w:val="nil"/>
              <w:bottom w:val="nil"/>
              <w:right w:val="nil"/>
            </w:tcBorders>
            <w:tcMar>
              <w:top w:w="114" w:type="dxa"/>
              <w:left w:w="28" w:type="dxa"/>
              <w:bottom w:w="114" w:type="dxa"/>
              <w:right w:w="28" w:type="dxa"/>
            </w:tcMar>
          </w:tcPr>
          <w:p w:rsidR="00000000" w:rsidRPr="00EB1B82" w:rsidRDefault="008F68A9">
            <w:pPr>
              <w:pStyle w:val="a3"/>
              <w:jc w:val="both"/>
              <w:rPr>
                <w:sz w:val="18"/>
                <w:szCs w:val="18"/>
                <w:lang w:val="en-US"/>
              </w:rPr>
            </w:pPr>
            <w:r w:rsidRPr="00EB1B82">
              <w:rPr>
                <w:sz w:val="18"/>
                <w:szCs w:val="18"/>
                <w:lang w:val="en-US"/>
              </w:rPr>
              <w:t xml:space="preserve">Bernardo, J. and Smith, A. </w:t>
            </w:r>
            <w:r w:rsidRPr="00EB1B82">
              <w:rPr>
                <w:i/>
                <w:iCs/>
                <w:sz w:val="18"/>
                <w:szCs w:val="18"/>
                <w:lang w:val="en-US"/>
              </w:rPr>
              <w:t>Bayesian Theory</w:t>
            </w:r>
            <w:r w:rsidRPr="00EB1B82">
              <w:rPr>
                <w:sz w:val="18"/>
                <w:szCs w:val="18"/>
                <w:lang w:val="en-US"/>
              </w:rPr>
              <w:t>. John Wiley &amp; Sons, New York, USA, 2000</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[3]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JCGM 107 Оценивание данных измерений. Применение метода наименьших квадратов*</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[4]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JCGM 105 Оценивание данных измерений. Понятия и основные принципы*</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[5]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JCGM 102 О</w:t>
            </w:r>
            <w:r>
              <w:rPr>
                <w:sz w:val="18"/>
                <w:szCs w:val="18"/>
              </w:rPr>
              <w:t>ценивание данных измерений. Дополнение 2 к "Руководству по выражению неопределенности измерения". Модели с произвольным числом выходных величин*</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[6]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JCGM 103 Оценивание данных измерений. Дополнение 3 к "Руководству по выражению неопределенности измерения</w:t>
            </w:r>
            <w:r>
              <w:rPr>
                <w:sz w:val="18"/>
                <w:szCs w:val="18"/>
              </w:rPr>
              <w:t>". Моделирование*</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[7]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JCGM 106 Оценивание данных измерений. Роль неопределенности измерения в оценке соответствия*</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[8]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Casella, G.C. and Berger, R.L. </w:t>
            </w:r>
            <w:r w:rsidRPr="00EB1B82">
              <w:rPr>
                <w:i/>
                <w:iCs/>
                <w:sz w:val="18"/>
                <w:szCs w:val="18"/>
                <w:lang w:val="en-US"/>
              </w:rPr>
              <w:t>Statistical Inference</w:t>
            </w:r>
            <w:r w:rsidRPr="00EB1B82">
              <w:rPr>
                <w:sz w:val="18"/>
                <w:szCs w:val="18"/>
                <w:lang w:val="en-US"/>
              </w:rPr>
              <w:t xml:space="preserve">. </w:t>
            </w:r>
            <w:r>
              <w:rPr>
                <w:sz w:val="18"/>
                <w:szCs w:val="18"/>
              </w:rPr>
              <w:t>Duxbury Press, Pacific Grove, 2001</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[9]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Cox, M.G. The evaluation of key comparison data. </w:t>
            </w:r>
            <w:r>
              <w:rPr>
                <w:i/>
                <w:iCs/>
                <w:sz w:val="18"/>
                <w:szCs w:val="18"/>
              </w:rPr>
              <w:t>Metrologia</w:t>
            </w:r>
            <w:r>
              <w:rPr>
                <w:sz w:val="18"/>
                <w:szCs w:val="18"/>
              </w:rPr>
              <w:t xml:space="preserve"> 39 (2002), 589-595</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[10]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Cox, M.G., and Harris, P.M. SSfM Best Practice Guide No. 6, Uncertainty evaluation. </w:t>
            </w:r>
            <w:r>
              <w:rPr>
                <w:sz w:val="18"/>
                <w:szCs w:val="18"/>
              </w:rPr>
              <w:t>Tech. Rep. DEM-ES-011, National Physical Laboratory, Teddington, UK, 2006</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[11]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Cox, M.G. and Harris, P.M. Software specifications for uncertainty evaluation. </w:t>
            </w:r>
            <w:r>
              <w:rPr>
                <w:sz w:val="18"/>
                <w:szCs w:val="18"/>
              </w:rPr>
              <w:t>Tech. Rep. DEM-ES-010, National Physical Laboratory, Teddington, UK, 2006</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[12]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Dietrich, C.F. </w:t>
            </w:r>
            <w:r w:rsidRPr="00EB1B82">
              <w:rPr>
                <w:i/>
                <w:iCs/>
                <w:sz w:val="18"/>
                <w:szCs w:val="18"/>
                <w:lang w:val="en-US"/>
              </w:rPr>
              <w:t>Uncertainty, Calibration and Probability</w:t>
            </w:r>
            <w:r w:rsidRPr="00EB1B82">
              <w:rPr>
                <w:sz w:val="18"/>
                <w:szCs w:val="18"/>
                <w:lang w:val="en-US"/>
              </w:rPr>
              <w:t xml:space="preserve">. </w:t>
            </w:r>
            <w:r>
              <w:rPr>
                <w:sz w:val="18"/>
                <w:szCs w:val="18"/>
              </w:rPr>
              <w:t>Adam Hilger, Bristol, UK, 1991</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[13]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E</w:t>
            </w:r>
            <w:r w:rsidRPr="00EB1B82">
              <w:rPr>
                <w:sz w:val="18"/>
                <w:szCs w:val="18"/>
                <w:lang w:val="en-US"/>
              </w:rPr>
              <w:t xml:space="preserve">lster, </w:t>
            </w:r>
            <w:r>
              <w:rPr>
                <w:sz w:val="18"/>
                <w:szCs w:val="18"/>
              </w:rPr>
              <w:t>С</w:t>
            </w:r>
            <w:r w:rsidRPr="00EB1B82">
              <w:rPr>
                <w:sz w:val="18"/>
                <w:szCs w:val="18"/>
                <w:lang w:val="en-US"/>
              </w:rPr>
              <w:t xml:space="preserve"> Calculation of uncertainty in the presence of prior knowledge. </w:t>
            </w:r>
            <w:r>
              <w:rPr>
                <w:i/>
                <w:iCs/>
                <w:sz w:val="18"/>
                <w:szCs w:val="18"/>
              </w:rPr>
              <w:t>Metrologia</w:t>
            </w:r>
            <w:r>
              <w:rPr>
                <w:sz w:val="18"/>
                <w:szCs w:val="18"/>
              </w:rPr>
              <w:t xml:space="preserve"> 44 (2007), 111-116</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[14]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EURACHEM/CITAC. Quantifying uncertainty in analytical measurement. </w:t>
            </w:r>
            <w:r>
              <w:rPr>
                <w:sz w:val="18"/>
                <w:szCs w:val="18"/>
              </w:rPr>
              <w:t>Tech. Rep. Guide CG4, EURACHEM/CITEC, [EURACHEM/CITAC Guide], 2000</w:t>
            </w:r>
          </w:p>
        </w:tc>
      </w:tr>
      <w:tr w:rsidR="00000000" w:rsidRPr="00EB1B82">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[15] </w:t>
            </w:r>
          </w:p>
        </w:tc>
        <w:tc>
          <w:tcPr>
            <w:tcW w:w="8595" w:type="dxa"/>
            <w:tcBorders>
              <w:top w:val="nil"/>
              <w:left w:val="nil"/>
              <w:bottom w:val="nil"/>
              <w:right w:val="nil"/>
            </w:tcBorders>
            <w:tcMar>
              <w:top w:w="114" w:type="dxa"/>
              <w:left w:w="28" w:type="dxa"/>
              <w:bottom w:w="114" w:type="dxa"/>
              <w:right w:w="28" w:type="dxa"/>
            </w:tcMar>
          </w:tcPr>
          <w:p w:rsidR="00000000" w:rsidRPr="00EB1B82" w:rsidRDefault="008F68A9">
            <w:pPr>
              <w:pStyle w:val="a3"/>
              <w:jc w:val="both"/>
              <w:rPr>
                <w:sz w:val="18"/>
                <w:szCs w:val="18"/>
                <w:lang w:val="en-US"/>
              </w:rPr>
            </w:pPr>
            <w:r w:rsidRPr="00EB1B82">
              <w:rPr>
                <w:sz w:val="18"/>
                <w:szCs w:val="18"/>
                <w:lang w:val="en-US"/>
              </w:rPr>
              <w:t xml:space="preserve">Feller, W. </w:t>
            </w:r>
            <w:r w:rsidRPr="00EB1B82">
              <w:rPr>
                <w:i/>
                <w:iCs/>
                <w:sz w:val="18"/>
                <w:szCs w:val="18"/>
                <w:lang w:val="en-US"/>
              </w:rPr>
              <w:t>An Introduction to Probability Theory and its Applications</w:t>
            </w:r>
            <w:r w:rsidRPr="00EB1B82">
              <w:rPr>
                <w:sz w:val="18"/>
                <w:szCs w:val="18"/>
                <w:lang w:val="en-US"/>
              </w:rPr>
              <w:t xml:space="preserve">, </w:t>
            </w:r>
            <w:r w:rsidRPr="00EB1B82">
              <w:rPr>
                <w:i/>
                <w:iCs/>
                <w:sz w:val="18"/>
                <w:szCs w:val="18"/>
                <w:lang w:val="en-US"/>
              </w:rPr>
              <w:t>Volume I</w:t>
            </w:r>
            <w:r w:rsidRPr="00EB1B82">
              <w:rPr>
                <w:sz w:val="18"/>
                <w:szCs w:val="18"/>
                <w:lang w:val="en-US"/>
              </w:rPr>
              <w:t>. Wiley, 1968</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[16]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Feller, W. </w:t>
            </w:r>
            <w:r w:rsidRPr="00EB1B82">
              <w:rPr>
                <w:i/>
                <w:iCs/>
                <w:sz w:val="18"/>
                <w:szCs w:val="18"/>
                <w:lang w:val="en-US"/>
              </w:rPr>
              <w:t>An Introduction to Probability Theory and its Applications</w:t>
            </w:r>
            <w:r w:rsidRPr="00EB1B82">
              <w:rPr>
                <w:sz w:val="18"/>
                <w:szCs w:val="18"/>
                <w:lang w:val="en-US"/>
              </w:rPr>
              <w:t xml:space="preserve">, </w:t>
            </w:r>
            <w:r w:rsidRPr="00EB1B82">
              <w:rPr>
                <w:i/>
                <w:iCs/>
                <w:sz w:val="18"/>
                <w:szCs w:val="18"/>
                <w:lang w:val="en-US"/>
              </w:rPr>
              <w:t>Volume II.</w:t>
            </w:r>
            <w:r w:rsidRPr="00EB1B82">
              <w:rPr>
                <w:sz w:val="18"/>
                <w:szCs w:val="18"/>
                <w:lang w:val="en-US"/>
              </w:rPr>
              <w:t xml:space="preserve"> </w:t>
            </w:r>
            <w:r>
              <w:rPr>
                <w:sz w:val="18"/>
                <w:szCs w:val="18"/>
              </w:rPr>
              <w:t>Wiley, 1971</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[17]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Hibbert, D.B. </w:t>
            </w:r>
            <w:r w:rsidRPr="00EB1B82">
              <w:rPr>
                <w:i/>
                <w:iCs/>
                <w:sz w:val="18"/>
                <w:szCs w:val="18"/>
                <w:lang w:val="en-US"/>
              </w:rPr>
              <w:t>Quality Assurance for the Analytical Chem</w:t>
            </w:r>
            <w:r w:rsidRPr="00EB1B82">
              <w:rPr>
                <w:i/>
                <w:iCs/>
                <w:sz w:val="18"/>
                <w:szCs w:val="18"/>
                <w:lang w:val="en-US"/>
              </w:rPr>
              <w:t>istry Laboratory</w:t>
            </w:r>
            <w:r w:rsidRPr="00EB1B82">
              <w:rPr>
                <w:sz w:val="18"/>
                <w:szCs w:val="18"/>
                <w:lang w:val="en-US"/>
              </w:rPr>
              <w:t xml:space="preserve">. </w:t>
            </w:r>
            <w:r>
              <w:rPr>
                <w:sz w:val="18"/>
                <w:szCs w:val="18"/>
              </w:rPr>
              <w:t>Oxford University Press, Oxford, UK, 2007</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[18]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Руководство МЭК 115:2007 Применение неопределенности измерения в деятельности по оценке соответствия в электротехнике</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[19]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ИСО 10576-1:2003 Статистические методы. Руководство по оценке со</w:t>
            </w:r>
            <w:r>
              <w:rPr>
                <w:sz w:val="18"/>
                <w:szCs w:val="18"/>
              </w:rPr>
              <w:t>ответствия установленным требованиям. Часть 1. Общие принципы</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[20]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Pr>
                <w:sz w:val="18"/>
                <w:szCs w:val="18"/>
              </w:rPr>
              <w:t>ИСО/МЭК 17025:2006 Общие требования к компетентности испытательных и калибровочных лабораторий</w:t>
            </w:r>
          </w:p>
        </w:tc>
      </w:tr>
      <w:tr w:rsidR="00000000" w:rsidRPr="00EB1B82">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[21] </w:t>
            </w:r>
          </w:p>
        </w:tc>
        <w:tc>
          <w:tcPr>
            <w:tcW w:w="8595" w:type="dxa"/>
            <w:tcBorders>
              <w:top w:val="nil"/>
              <w:left w:val="nil"/>
              <w:bottom w:val="nil"/>
              <w:right w:val="nil"/>
            </w:tcBorders>
            <w:tcMar>
              <w:top w:w="114" w:type="dxa"/>
              <w:left w:w="28" w:type="dxa"/>
              <w:bottom w:w="114" w:type="dxa"/>
              <w:right w:w="28" w:type="dxa"/>
            </w:tcMar>
          </w:tcPr>
          <w:p w:rsidR="00000000" w:rsidRPr="00EB1B82" w:rsidRDefault="008F68A9">
            <w:pPr>
              <w:pStyle w:val="a3"/>
              <w:jc w:val="both"/>
              <w:rPr>
                <w:sz w:val="18"/>
                <w:szCs w:val="18"/>
                <w:lang w:val="en-US"/>
              </w:rPr>
            </w:pPr>
            <w:r w:rsidRPr="00EB1B82">
              <w:rPr>
                <w:sz w:val="18"/>
                <w:szCs w:val="18"/>
                <w:lang w:val="en-US"/>
              </w:rPr>
              <w:t xml:space="preserve">Korczynski, </w:t>
            </w:r>
            <w:r>
              <w:rPr>
                <w:sz w:val="18"/>
                <w:szCs w:val="18"/>
              </w:rPr>
              <w:t>М</w:t>
            </w:r>
            <w:r w:rsidRPr="00EB1B82">
              <w:rPr>
                <w:sz w:val="18"/>
                <w:szCs w:val="18"/>
                <w:lang w:val="en-US"/>
              </w:rPr>
              <w:t xml:space="preserve">.J., </w:t>
            </w:r>
            <w:r>
              <w:rPr>
                <w:sz w:val="18"/>
                <w:szCs w:val="18"/>
              </w:rPr>
              <w:t>Сох</w:t>
            </w:r>
            <w:r w:rsidRPr="00EB1B82">
              <w:rPr>
                <w:sz w:val="18"/>
                <w:szCs w:val="18"/>
                <w:lang w:val="en-US"/>
              </w:rPr>
              <w:t>, M.G. and Harris, P.</w:t>
            </w:r>
            <w:r>
              <w:rPr>
                <w:sz w:val="18"/>
                <w:szCs w:val="18"/>
              </w:rPr>
              <w:t>М</w:t>
            </w:r>
            <w:r w:rsidRPr="00EB1B82">
              <w:rPr>
                <w:sz w:val="18"/>
                <w:szCs w:val="18"/>
                <w:lang w:val="en-US"/>
              </w:rPr>
              <w:t xml:space="preserve">. Convolution and uncertainty evaluation. </w:t>
            </w:r>
            <w:r w:rsidRPr="00EB1B82">
              <w:rPr>
                <w:sz w:val="18"/>
                <w:szCs w:val="18"/>
                <w:lang w:val="en-US"/>
              </w:rPr>
              <w:t xml:space="preserve">In </w:t>
            </w:r>
            <w:r w:rsidRPr="00EB1B82">
              <w:rPr>
                <w:i/>
                <w:iCs/>
                <w:sz w:val="18"/>
                <w:szCs w:val="18"/>
                <w:lang w:val="en-US"/>
              </w:rPr>
              <w:t>Advanced Mathematical Tools in Metrology VII</w:t>
            </w:r>
            <w:r w:rsidRPr="00EB1B82">
              <w:rPr>
                <w:sz w:val="18"/>
                <w:szCs w:val="18"/>
                <w:lang w:val="en-US"/>
              </w:rPr>
              <w:t xml:space="preserve"> (Singapore, 2006), P.Ciarlini, E. Felipe, A.B. Forbes, and F. Pavese, Eds.,World Scientific, pp.188-195</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[22]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Mohr, P.J., and Taylor, B.N. CODATA recommended values of the fundamental physical constants: 2002. </w:t>
            </w:r>
            <w:r>
              <w:rPr>
                <w:i/>
                <w:iCs/>
                <w:sz w:val="18"/>
                <w:szCs w:val="18"/>
              </w:rPr>
              <w:t>Rev. Mod. Phys</w:t>
            </w:r>
            <w:r>
              <w:rPr>
                <w:sz w:val="18"/>
                <w:szCs w:val="18"/>
              </w:rPr>
              <w:t>. 76 (2004), 4</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lastRenderedPageBreak/>
              <w:t xml:space="preserve">[23]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Taylor, B.N. and Kuyatt C.E. </w:t>
            </w:r>
            <w:r w:rsidRPr="00EB1B82">
              <w:rPr>
                <w:i/>
                <w:iCs/>
                <w:sz w:val="18"/>
                <w:szCs w:val="18"/>
                <w:lang w:val="en-US"/>
              </w:rPr>
              <w:t>Guidelines for Evaluating and Expressing the Uncertainty of NIST Measurement Results</w:t>
            </w:r>
            <w:r w:rsidRPr="00EB1B82">
              <w:rPr>
                <w:sz w:val="18"/>
                <w:szCs w:val="18"/>
                <w:lang w:val="en-US"/>
              </w:rPr>
              <w:t xml:space="preserve">. </w:t>
            </w:r>
            <w:r>
              <w:rPr>
                <w:sz w:val="18"/>
                <w:szCs w:val="18"/>
              </w:rPr>
              <w:t xml:space="preserve">NIST </w:t>
            </w:r>
            <w:r>
              <w:rPr>
                <w:sz w:val="18"/>
                <w:szCs w:val="18"/>
              </w:rPr>
              <w:t>Technical Note 1297, 1994</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[24]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Possolo, A. and Toman, B. Assessment of measurement uncertainty via observation equations. </w:t>
            </w:r>
            <w:r>
              <w:rPr>
                <w:i/>
                <w:iCs/>
                <w:sz w:val="18"/>
                <w:szCs w:val="18"/>
              </w:rPr>
              <w:t>Metrologia</w:t>
            </w:r>
            <w:r>
              <w:rPr>
                <w:sz w:val="18"/>
                <w:szCs w:val="18"/>
              </w:rPr>
              <w:t xml:space="preserve"> 44 (2007), 464-475</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[25]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Rice, J.R. </w:t>
            </w:r>
            <w:r w:rsidRPr="00EB1B82">
              <w:rPr>
                <w:i/>
                <w:iCs/>
                <w:sz w:val="18"/>
                <w:szCs w:val="18"/>
                <w:lang w:val="en-US"/>
              </w:rPr>
              <w:t>Mathematical Statistics and Data Analysis</w:t>
            </w:r>
            <w:r w:rsidRPr="00EB1B82">
              <w:rPr>
                <w:sz w:val="18"/>
                <w:szCs w:val="18"/>
                <w:lang w:val="en-US"/>
              </w:rPr>
              <w:t xml:space="preserve">, second ed. </w:t>
            </w:r>
            <w:r>
              <w:rPr>
                <w:sz w:val="18"/>
                <w:szCs w:val="18"/>
              </w:rPr>
              <w:t>Duxbury Press, Belmont, Ca., U</w:t>
            </w:r>
            <w:r>
              <w:rPr>
                <w:sz w:val="18"/>
                <w:szCs w:val="18"/>
              </w:rPr>
              <w:t>SA, 1995</w:t>
            </w:r>
          </w:p>
        </w:tc>
      </w:tr>
      <w:tr w:rsidR="00000000">
        <w:tblPrEx>
          <w:tblCellMar>
            <w:top w:w="0" w:type="dxa"/>
            <w:bottom w:w="0" w:type="dxa"/>
          </w:tblCellMar>
        </w:tblPrEx>
        <w:tc>
          <w:tcPr>
            <w:tcW w:w="405" w:type="dxa"/>
            <w:tcBorders>
              <w:top w:val="nil"/>
              <w:left w:val="nil"/>
              <w:bottom w:val="nil"/>
              <w:right w:val="nil"/>
            </w:tcBorders>
            <w:tcMar>
              <w:top w:w="114" w:type="dxa"/>
              <w:left w:w="28" w:type="dxa"/>
              <w:bottom w:w="114" w:type="dxa"/>
              <w:right w:w="28" w:type="dxa"/>
            </w:tcMar>
          </w:tcPr>
          <w:p w:rsidR="00000000" w:rsidRDefault="008F68A9">
            <w:pPr>
              <w:pStyle w:val="a3"/>
              <w:rPr>
                <w:sz w:val="18"/>
                <w:szCs w:val="18"/>
              </w:rPr>
            </w:pPr>
            <w:r>
              <w:rPr>
                <w:sz w:val="18"/>
                <w:szCs w:val="18"/>
              </w:rPr>
              <w:t xml:space="preserve">[26] </w:t>
            </w:r>
          </w:p>
        </w:tc>
        <w:tc>
          <w:tcPr>
            <w:tcW w:w="8595" w:type="dxa"/>
            <w:tcBorders>
              <w:top w:val="nil"/>
              <w:left w:val="nil"/>
              <w:bottom w:val="nil"/>
              <w:right w:val="nil"/>
            </w:tcBorders>
            <w:tcMar>
              <w:top w:w="114" w:type="dxa"/>
              <w:left w:w="28" w:type="dxa"/>
              <w:bottom w:w="114" w:type="dxa"/>
              <w:right w:w="28" w:type="dxa"/>
            </w:tcMar>
          </w:tcPr>
          <w:p w:rsidR="00000000" w:rsidRDefault="008F68A9">
            <w:pPr>
              <w:pStyle w:val="a3"/>
              <w:jc w:val="both"/>
              <w:rPr>
                <w:sz w:val="18"/>
                <w:szCs w:val="18"/>
              </w:rPr>
            </w:pPr>
            <w:r w:rsidRPr="00EB1B82">
              <w:rPr>
                <w:sz w:val="18"/>
                <w:szCs w:val="18"/>
                <w:lang w:val="en-US"/>
              </w:rPr>
              <w:t xml:space="preserve">Weise, K. and </w:t>
            </w:r>
            <w:r w:rsidR="00EB1B82">
              <w:rPr>
                <w:noProof/>
                <w:position w:val="-7"/>
                <w:sz w:val="18"/>
                <w:szCs w:val="18"/>
              </w:rPr>
              <w:drawing>
                <wp:inline distT="0" distB="0" distL="0" distR="0">
                  <wp:extent cx="403860" cy="166370"/>
                  <wp:effectExtent l="0" t="0" r="0" b="508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03860" cy="166370"/>
                          </a:xfrm>
                          <a:prstGeom prst="rect">
                            <a:avLst/>
                          </a:prstGeom>
                          <a:noFill/>
                          <a:ln>
                            <a:noFill/>
                          </a:ln>
                        </pic:spPr>
                      </pic:pic>
                    </a:graphicData>
                  </a:graphic>
                </wp:inline>
              </w:drawing>
            </w:r>
            <w:r w:rsidRPr="00EB1B82">
              <w:rPr>
                <w:sz w:val="18"/>
                <w:szCs w:val="18"/>
                <w:lang w:val="en-US"/>
              </w:rPr>
              <w:t xml:space="preserve">, W.A Bayesian theory of measurement uncertainty. </w:t>
            </w:r>
            <w:r>
              <w:rPr>
                <w:i/>
                <w:iCs/>
                <w:sz w:val="18"/>
                <w:szCs w:val="18"/>
              </w:rPr>
              <w:t>Meas. Sci. Technol</w:t>
            </w:r>
            <w:r>
              <w:rPr>
                <w:sz w:val="18"/>
                <w:szCs w:val="18"/>
              </w:rPr>
              <w:t xml:space="preserve">. </w:t>
            </w:r>
            <w:r>
              <w:rPr>
                <w:i/>
                <w:iCs/>
                <w:sz w:val="18"/>
                <w:szCs w:val="18"/>
              </w:rPr>
              <w:t>3</w:t>
            </w:r>
            <w:r>
              <w:rPr>
                <w:sz w:val="18"/>
                <w:szCs w:val="18"/>
              </w:rPr>
              <w:t xml:space="preserve"> (1992), 1-11 </w:t>
            </w:r>
          </w:p>
        </w:tc>
      </w:tr>
    </w:tbl>
    <w:p w:rsidR="008F68A9" w:rsidRDefault="00F43F79">
      <w:pPr>
        <w:pStyle w:val="FORMATTEXT"/>
        <w:jc w:val="both"/>
      </w:pPr>
      <w:r>
        <w:t xml:space="preserve">Скачано с </w:t>
      </w:r>
      <w:r w:rsidR="008F68A9">
        <w:t xml:space="preserve"> </w:t>
      </w:r>
      <w:hyperlink r:id="rId88" w:history="1">
        <w:r w:rsidRPr="00F43F79">
          <w:rPr>
            <w:rStyle w:val="a4"/>
          </w:rPr>
          <w:t>https://rosakkreditatsiya-forum.ru</w:t>
        </w:r>
      </w:hyperlink>
      <w:bookmarkStart w:id="0" w:name="_GoBack"/>
      <w:bookmarkEnd w:id="0"/>
    </w:p>
    <w:sectPr w:rsidR="008F68A9">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B82"/>
    <w:rsid w:val="008F68A9"/>
    <w:rsid w:val="00EB1B82"/>
    <w:rsid w:val="00F43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81D7A6-F82F-4653-9713-1A8B3661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F43F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gif"/><Relationship Id="rId18" Type="http://schemas.openxmlformats.org/officeDocument/2006/relationships/image" Target="media/image15.gif"/><Relationship Id="rId26" Type="http://schemas.openxmlformats.org/officeDocument/2006/relationships/image" Target="media/image23.gif"/><Relationship Id="rId39" Type="http://schemas.openxmlformats.org/officeDocument/2006/relationships/image" Target="media/image36.gif"/><Relationship Id="rId21" Type="http://schemas.openxmlformats.org/officeDocument/2006/relationships/image" Target="media/image18.gif"/><Relationship Id="rId34" Type="http://schemas.openxmlformats.org/officeDocument/2006/relationships/image" Target="media/image31.gif"/><Relationship Id="rId42" Type="http://schemas.openxmlformats.org/officeDocument/2006/relationships/image" Target="media/image39.gif"/><Relationship Id="rId47" Type="http://schemas.openxmlformats.org/officeDocument/2006/relationships/image" Target="media/image44.gif"/><Relationship Id="rId50" Type="http://schemas.openxmlformats.org/officeDocument/2006/relationships/image" Target="media/image47.gif"/><Relationship Id="rId55" Type="http://schemas.openxmlformats.org/officeDocument/2006/relationships/image" Target="media/image52.gif"/><Relationship Id="rId63" Type="http://schemas.openxmlformats.org/officeDocument/2006/relationships/image" Target="media/image60.gif"/><Relationship Id="rId68" Type="http://schemas.openxmlformats.org/officeDocument/2006/relationships/image" Target="media/image65.gif"/><Relationship Id="rId76" Type="http://schemas.openxmlformats.org/officeDocument/2006/relationships/image" Target="media/image73.gif"/><Relationship Id="rId84" Type="http://schemas.openxmlformats.org/officeDocument/2006/relationships/image" Target="media/image81.gif"/><Relationship Id="rId89" Type="http://schemas.openxmlformats.org/officeDocument/2006/relationships/fontTable" Target="fontTable.xml"/><Relationship Id="rId7" Type="http://schemas.openxmlformats.org/officeDocument/2006/relationships/image" Target="media/image4.gif"/><Relationship Id="rId71" Type="http://schemas.openxmlformats.org/officeDocument/2006/relationships/image" Target="media/image68.gif"/><Relationship Id="rId2" Type="http://schemas.openxmlformats.org/officeDocument/2006/relationships/settings" Target="settings.xml"/><Relationship Id="rId16" Type="http://schemas.openxmlformats.org/officeDocument/2006/relationships/image" Target="media/image13.gif"/><Relationship Id="rId29" Type="http://schemas.openxmlformats.org/officeDocument/2006/relationships/image" Target="media/image26.gif"/><Relationship Id="rId11" Type="http://schemas.openxmlformats.org/officeDocument/2006/relationships/image" Target="media/image8.gif"/><Relationship Id="rId24" Type="http://schemas.openxmlformats.org/officeDocument/2006/relationships/image" Target="media/image21.gif"/><Relationship Id="rId32" Type="http://schemas.openxmlformats.org/officeDocument/2006/relationships/image" Target="media/image29.gif"/><Relationship Id="rId37" Type="http://schemas.openxmlformats.org/officeDocument/2006/relationships/image" Target="media/image34.gif"/><Relationship Id="rId40" Type="http://schemas.openxmlformats.org/officeDocument/2006/relationships/image" Target="media/image37.gif"/><Relationship Id="rId45" Type="http://schemas.openxmlformats.org/officeDocument/2006/relationships/image" Target="media/image42.gif"/><Relationship Id="rId53" Type="http://schemas.openxmlformats.org/officeDocument/2006/relationships/image" Target="media/image50.gif"/><Relationship Id="rId58" Type="http://schemas.openxmlformats.org/officeDocument/2006/relationships/image" Target="media/image55.gif"/><Relationship Id="rId66" Type="http://schemas.openxmlformats.org/officeDocument/2006/relationships/image" Target="media/image63.gif"/><Relationship Id="rId74" Type="http://schemas.openxmlformats.org/officeDocument/2006/relationships/image" Target="media/image71.gif"/><Relationship Id="rId79" Type="http://schemas.openxmlformats.org/officeDocument/2006/relationships/image" Target="media/image76.gif"/><Relationship Id="rId87" Type="http://schemas.openxmlformats.org/officeDocument/2006/relationships/image" Target="media/image84.gif"/><Relationship Id="rId5" Type="http://schemas.openxmlformats.org/officeDocument/2006/relationships/image" Target="media/image2.gif"/><Relationship Id="rId61" Type="http://schemas.openxmlformats.org/officeDocument/2006/relationships/image" Target="media/image58.gif"/><Relationship Id="rId82" Type="http://schemas.openxmlformats.org/officeDocument/2006/relationships/image" Target="media/image79.gif"/><Relationship Id="rId90" Type="http://schemas.openxmlformats.org/officeDocument/2006/relationships/theme" Target="theme/theme1.xml"/><Relationship Id="rId19" Type="http://schemas.openxmlformats.org/officeDocument/2006/relationships/image" Target="media/image16.gif"/><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image" Target="media/image11.gif"/><Relationship Id="rId22" Type="http://schemas.openxmlformats.org/officeDocument/2006/relationships/image" Target="media/image19.gif"/><Relationship Id="rId27" Type="http://schemas.openxmlformats.org/officeDocument/2006/relationships/image" Target="media/image24.gif"/><Relationship Id="rId30" Type="http://schemas.openxmlformats.org/officeDocument/2006/relationships/image" Target="media/image27.gif"/><Relationship Id="rId35" Type="http://schemas.openxmlformats.org/officeDocument/2006/relationships/image" Target="media/image32.gif"/><Relationship Id="rId43" Type="http://schemas.openxmlformats.org/officeDocument/2006/relationships/image" Target="media/image40.gif"/><Relationship Id="rId48" Type="http://schemas.openxmlformats.org/officeDocument/2006/relationships/image" Target="media/image45.gif"/><Relationship Id="rId56" Type="http://schemas.openxmlformats.org/officeDocument/2006/relationships/image" Target="media/image53.gif"/><Relationship Id="rId64" Type="http://schemas.openxmlformats.org/officeDocument/2006/relationships/image" Target="media/image61.gif"/><Relationship Id="rId69" Type="http://schemas.openxmlformats.org/officeDocument/2006/relationships/image" Target="media/image66.gif"/><Relationship Id="rId77" Type="http://schemas.openxmlformats.org/officeDocument/2006/relationships/image" Target="media/image74.gif"/><Relationship Id="rId8" Type="http://schemas.openxmlformats.org/officeDocument/2006/relationships/image" Target="media/image5.gif"/><Relationship Id="rId51" Type="http://schemas.openxmlformats.org/officeDocument/2006/relationships/image" Target="media/image48.gif"/><Relationship Id="rId72" Type="http://schemas.openxmlformats.org/officeDocument/2006/relationships/image" Target="media/image69.gif"/><Relationship Id="rId80" Type="http://schemas.openxmlformats.org/officeDocument/2006/relationships/image" Target="media/image77.gif"/><Relationship Id="rId85" Type="http://schemas.openxmlformats.org/officeDocument/2006/relationships/image" Target="media/image82.gif"/><Relationship Id="rId3" Type="http://schemas.openxmlformats.org/officeDocument/2006/relationships/webSettings" Target="webSettings.xml"/><Relationship Id="rId12" Type="http://schemas.openxmlformats.org/officeDocument/2006/relationships/image" Target="media/image9.gif"/><Relationship Id="rId17" Type="http://schemas.openxmlformats.org/officeDocument/2006/relationships/image" Target="media/image14.gif"/><Relationship Id="rId25" Type="http://schemas.openxmlformats.org/officeDocument/2006/relationships/image" Target="media/image22.gif"/><Relationship Id="rId33" Type="http://schemas.openxmlformats.org/officeDocument/2006/relationships/image" Target="media/image30.gif"/><Relationship Id="rId38" Type="http://schemas.openxmlformats.org/officeDocument/2006/relationships/image" Target="media/image35.gif"/><Relationship Id="rId46" Type="http://schemas.openxmlformats.org/officeDocument/2006/relationships/image" Target="media/image43.gif"/><Relationship Id="rId59" Type="http://schemas.openxmlformats.org/officeDocument/2006/relationships/image" Target="media/image56.gif"/><Relationship Id="rId67" Type="http://schemas.openxmlformats.org/officeDocument/2006/relationships/image" Target="media/image64.gif"/><Relationship Id="rId20" Type="http://schemas.openxmlformats.org/officeDocument/2006/relationships/image" Target="media/image17.gif"/><Relationship Id="rId41" Type="http://schemas.openxmlformats.org/officeDocument/2006/relationships/image" Target="media/image38.gif"/><Relationship Id="rId54" Type="http://schemas.openxmlformats.org/officeDocument/2006/relationships/image" Target="media/image51.gif"/><Relationship Id="rId62" Type="http://schemas.openxmlformats.org/officeDocument/2006/relationships/image" Target="media/image59.gif"/><Relationship Id="rId70" Type="http://schemas.openxmlformats.org/officeDocument/2006/relationships/image" Target="media/image67.gif"/><Relationship Id="rId75" Type="http://schemas.openxmlformats.org/officeDocument/2006/relationships/image" Target="media/image72.gif"/><Relationship Id="rId83" Type="http://schemas.openxmlformats.org/officeDocument/2006/relationships/image" Target="media/image80.gif"/><Relationship Id="rId88" Type="http://schemas.openxmlformats.org/officeDocument/2006/relationships/hyperlink" Target="https://rosakkreditatsiya-forum.ru" TargetMode="External"/><Relationship Id="rId1" Type="http://schemas.openxmlformats.org/officeDocument/2006/relationships/styles" Target="styles.xml"/><Relationship Id="rId6" Type="http://schemas.openxmlformats.org/officeDocument/2006/relationships/image" Target="media/image3.gif"/><Relationship Id="rId15" Type="http://schemas.openxmlformats.org/officeDocument/2006/relationships/image" Target="media/image12.gif"/><Relationship Id="rId23" Type="http://schemas.openxmlformats.org/officeDocument/2006/relationships/image" Target="media/image20.gif"/><Relationship Id="rId28" Type="http://schemas.openxmlformats.org/officeDocument/2006/relationships/image" Target="media/image25.gif"/><Relationship Id="rId36" Type="http://schemas.openxmlformats.org/officeDocument/2006/relationships/image" Target="media/image33.gif"/><Relationship Id="rId49" Type="http://schemas.openxmlformats.org/officeDocument/2006/relationships/image" Target="media/image46.gif"/><Relationship Id="rId57" Type="http://schemas.openxmlformats.org/officeDocument/2006/relationships/image" Target="media/image54.gif"/><Relationship Id="rId10" Type="http://schemas.openxmlformats.org/officeDocument/2006/relationships/image" Target="media/image7.gif"/><Relationship Id="rId31" Type="http://schemas.openxmlformats.org/officeDocument/2006/relationships/image" Target="media/image28.gif"/><Relationship Id="rId44" Type="http://schemas.openxmlformats.org/officeDocument/2006/relationships/image" Target="media/image41.gif"/><Relationship Id="rId52" Type="http://schemas.openxmlformats.org/officeDocument/2006/relationships/image" Target="media/image49.gif"/><Relationship Id="rId60" Type="http://schemas.openxmlformats.org/officeDocument/2006/relationships/image" Target="media/image57.gif"/><Relationship Id="rId65" Type="http://schemas.openxmlformats.org/officeDocument/2006/relationships/image" Target="media/image62.gif"/><Relationship Id="rId73" Type="http://schemas.openxmlformats.org/officeDocument/2006/relationships/image" Target="media/image70.gif"/><Relationship Id="rId78" Type="http://schemas.openxmlformats.org/officeDocument/2006/relationships/image" Target="media/image75.gif"/><Relationship Id="rId81" Type="http://schemas.openxmlformats.org/officeDocument/2006/relationships/image" Target="media/image78.gif"/><Relationship Id="rId86" Type="http://schemas.openxmlformats.org/officeDocument/2006/relationships/image" Target="media/image8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9157</Words>
  <Characters>52201</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ГОСТ Р 54500.1-2011/Руководство ИСО/МЭК 98-1:2009 Неопределенность измерения. Часть 1. Введение в руководства по неопределенности измерения </vt:lpstr>
    </vt:vector>
  </TitlesOfParts>
  <Company/>
  <LinksUpToDate>false</LinksUpToDate>
  <CharactersWithSpaces>61236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54500.1-2011/Руководство ИСО/МЭК 98-1:2009 Неопределенность измерения. Часть 1. Введение в руководства по неопределенности измерения</dc:title>
  <dc:subject/>
  <dc:creator>Cristal</dc:creator>
  <cp:keywords>Неопределенность;измерения;погрешность</cp:keywords>
  <dc:description/>
  <cp:lastModifiedBy>Cristal</cp:lastModifiedBy>
  <cp:revision>4</cp:revision>
  <dcterms:created xsi:type="dcterms:W3CDTF">2017-06-06T19:34:00Z</dcterms:created>
  <dcterms:modified xsi:type="dcterms:W3CDTF">2017-06-06T19:35:00Z</dcterms:modified>
</cp:coreProperties>
</file>